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aesthetics_comparativeness_islam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Multimodal comparative methodology combining TEI annotation, visual metrics, and psychometrics to measure aesthetic comparativeness in Islamic practices in Morocco and Indonesia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measurable comparativeness in texts and artifacts (greater analogy token frequency, stronger gradation metrics, and pronounced proportion ratios) causes higher perceived devotional proximity and normative value in participant judgments.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combines anthropology, ethnography, literary comparison, and digital humanities to describe regional Islamic aesthetics, and separate streams address text encoding (TEI), OCR for Arabic-script materials, and psychometrics for cultural attitudes. Prior comparative studies are largely qualitative or single-modal: they either provide rich ethnographic descriptions without reproducible metrics, or they run quantitative surveys without deep linkage to annotated texts and visual artifacts. Digital text work often lacks robust cross-language OCR and annotated edge‑case rules for mixed scripts; visual studies produce metrics but do not integrate them into psychometric models; psychometric work rarely incorporates multimodal observed variables and struggles with cross‑cultural invariance. These gaps limit reproducibility, multimodal integration, and valid cross-site comparisons.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Comparative claims about Islamic aesthetics (how likeness, gradation, proportion, and moral value are expressed) remain descriptive and single‑modal, limiting cross‑site testing. Approach: Build a multimodal pipeline that links TEI‑annotated corpora, measured visual/material metrics, and survey paired‑comparisons to test how measurable comparativeness predicts community judgments in Morocco and Indonesia. Main contribution: A reproducible measurement system that operationalizes five subcomponents of comparativeness (analogy, gradation, proportion, normative valence, relational framing), a TEI exemplar for edge cases, and joint psychometric models that integrate text tokens and image metrics with respondent data. Expected outcome: Empirical tests of whether annotated textual and material features causally predict perceived devotional and normative judgments, plus datasets and analysis scripts to enable cross‑cultural invariance testing and multimodal inference. Impact: Provide transparent, testable measures for comparative aesthetics that can scale to additional languages and sites.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Text corpus: TEI-encoded set of 200 texts (classical and modern) from Morocco and Indonesia, including annotated tokens for analogy and normative lexemes; (2) Visual corpus: 600 high-resolution images/plans of architecture, calligraphy, and ritual dress with computed metrics (motif scale ratios, spatial layering indices, light-distribution gradients); (3) Survey: pilot N=300 (3 sites ×100), full N=1,200 (6 sites ×200) with Likert and paired-comparison items and confidence scores. Baselines: (A) qualitative coding counts (human summary scores), (B) unannotated token frequency model, (C) single-modality models (text-only, image-only). Evaluation metrics: CFA fit indices (CFI, TLI, RMSEA, SRMR), ΔCFI/ΔRMSEA for invariance, IRT item fit and information, Cohen's kappa for annotation reliability, OCR character accuracy and WER, predictive R^2 and AUC for respondent judgments, Bradley–Terry log-likelihood for paired-comparisons. Software and pipelines: TEI XML for texts; OCR using Kraken and Tesseract; psychometric modeling with lavaan (CFA), mirt (IRT), brms/Stan (Bayesian MIRT), Bradley–Terry and mixed-effects paired models in R, containerized with Docker and reproducible notebooks. Experimental setup: 1) Run annotation and compute token/visual metrics. 2) Pilot survey (N=300) to estimate item parameters. 3) Fit correlated five-factor CFA and bifactor/higher-order variants; evaluate invariance across sites. 4) Fit GRM/2PL IRT and Bayesian MIRT; assess DIF via logistic regression and alignment. 5) Compare models: full multimodal vs text-only vs image-only (ablation studies remove visual metrics, remove analogy tokens, remove normative valence). 6) Fit paired-comparison models (Bradley–Terry and mixed-effects) and fuse scores with CFA/IRT latent traits; test predictive gain in R^2. Report automated diagnostics and convergence (Rhat, ESS).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OCR for historical and mixed scripts may produce &gt;20% WER, reducing usable text for annotation. Annotation limits: low inter-annotator agreement on subtle normative valence or idiomatic analogy reduces measurement reliability. Psychometric constraints: factors may not show scalar invariance across sites, limiting cross-site mean comparisons. Multimodal integration: image metrics (motif ratios, light gradients) may not align with latent survey constructs, producing weak predictive power. Sample and design: clustering and high intra-class correlation (ICC) across sites may reduce effective sample size and power for DIF detection. Scalability: manual post-correction and annotation are labor intensive and may not scale without significant budget and FTEs. Generalization: results from Morocco and Indonesia may not extend to other Islamic regions or to non-Muslim contexts. Ethical/legal limits: sacred or contested materials may be restricted, reducing available data and affecting representativeness.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