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loneliness_resilience_apathy_mod</w:t>
      </w:r>
    </w:p>
    <w:p>
      <w:r>
        <w:t xml:space="preserve"> </w:t>
      </w:r>
    </w:p>
    <w:p>
      <w:pPr>
        <w:pStyle w:val="Heading2"/>
      </w:pPr>
      <w:r>
        <w:t>Title</w:t>
      </w:r>
    </w:p>
    <w:p>
      <w:r>
        <w:t>Latent moderated mediation structural equation modeling of resilience, loneliness, and multidimensional apathy with cognitive function as moderator in community-dwelling adults aged 50+</w:t>
      </w:r>
    </w:p>
    <w:p>
      <w:r>
        <w:t xml:space="preserve"> </w:t>
      </w:r>
    </w:p>
    <w:p>
      <w:pPr>
        <w:pStyle w:val="Heading2"/>
      </w:pPr>
      <w:r>
        <w:t>Short Hypothesis</w:t>
      </w:r>
    </w:p>
    <w:p>
      <w:r>
        <w:t>Higher baseline resilience reduces later multidimensional apathy indirectly by lowering loneliness, and this indirect effect is stronger in participants with higher cognitive function.</w:t>
      </w:r>
    </w:p>
    <w:p>
      <w:r>
        <w:t xml:space="preserve"> </w:t>
      </w:r>
    </w:p>
    <w:p>
      <w:pPr>
        <w:pStyle w:val="Heading2"/>
      </w:pPr>
      <w:r>
        <w:t>Related Work</w:t>
      </w:r>
    </w:p>
    <w:p>
      <w:r>
        <w:t>Prior studies show links between loneliness, lower resilience, cognitive decline, and greater apathy, but most are cross-sectional or use simple regression that cannot separate indirect paths or test latent interactions. Existing work often conflates apathy with depression, lacks pre-registered measurement models, and uses small samples that limit detection of small indirect or interaction effects. Neurocognitive studies link frontal control signals to motivation but rarely integrate these biomarkers with validated latent-variable SEMs. EMA and EEG efforts have provided momentary and neural markers of loneliness and motivation but are typically underpowered or not harmonized with large cohort psychometrics. Limitations of current approaches: inability to (1) test a temporally ordered indirect effect with a latent cognition×resilience interaction, (2) separate apathy from mood at the item level, (3) combine EEG/EMA mechanistic data with robust SEM power for latent interactions, and (4) pre-specify sensitivity analyses for missing data and invariance across subgroups.</w:t>
      </w:r>
    </w:p>
    <w:p>
      <w:r>
        <w:t xml:space="preserve"> </w:t>
      </w:r>
    </w:p>
    <w:p>
      <w:pPr>
        <w:pStyle w:val="Heading2"/>
      </w:pPr>
      <w:r>
        <w:t>Abstract</w:t>
      </w:r>
    </w:p>
    <w:p>
      <w:r>
        <w:t>Apathy (low motivation) in middle-aged and older adults is often linked to loneliness and low resilience, but the causal chain and the role of cognitive ability are unclear. We will test whether resilience reduces later multidimensional apathy indirectly by lowering loneliness, and whether cognitive function changes the size of that indirect effect. The approach uses latent variable structural equation models (SEM) with a latent moderated mediation term: cognition×resilience interaction modeled as a latent interaction (LMS). Measures include validated questionnaires for loneliness, resilience, and apathy, a cognitive battery, and optional EEG and ecological momentary assessment (EMA) subsamples. Main contributions: (1) a preregistered longitudinal latent moderated-mediation test of the loneliness→resilience→apathy pathway; (2) integration of cognitive moderator effects estimated at the latent level; and (3) combined psychometric, EMA, and neural descriptors to probe short-timescale mediation. Expected outcome: quantifiable conditional indirect effects showing whether and how cognitive function alters the protective effect of resilience against apathy, informing targeted interventions.</w:t>
      </w:r>
    </w:p>
    <w:p>
      <w:r>
        <w:t xml:space="preserve"> </w:t>
      </w:r>
    </w:p>
    <w:p>
      <w:pPr>
        <w:pStyle w:val="Heading2"/>
      </w:pPr>
      <w:r>
        <w:t>Experiments</w:t>
      </w:r>
    </w:p>
    <w:p>
      <w:r>
        <w:t>Dataset: community-dwelling adults aged 50+ recruited to baseline N=500 (target range 400–600). Waves: T1 baseline, T2 = 12 months, T3 = 24 months. Subsamples: EEG n=100–150, EMA n=100–150 (4 prompts/day × 10–14 days). Measures: UCLA Loneliness Scale v3 (20 items), CD-RISC-10, Dimensional Apathy Scale (DAS) + clinician AES, PHQ-9, MoCA + domain tests (Trails A/B, Stroop/Go-NoGo, Digit Symbol, HVLT-R, fluency, Digit Span). Primary model: latent moderated mediation (LMS) in Mplus estimating Resilience_T2 = a·Loneliness_T1 + covariates; Apathy_T3 = b·Resilience_T2 + c·Loneliness_T1 + d·Cog_T1 + f·(Resilience_T2×Cog_T1) + covariates. Baselines and comparisons: (1) SEM without interaction (standard mediation), (2) product-indicator latent interaction in lavaan (sensitivity), (3) models using observed composite scores, (4) models excluding mood-overlapping items from DAS, (5) cross-lagged panel model as exploratory. Evaluation metrics: standardized indirect effect size (a*b conditional on cognition), bootstrapped 95% CI (5,000 samples), RMSEA, CFI, SRMR for model fit, power curves from Monte Carlo, ICCs for EEG metrics, EMA compliance rate (target ≥70%). Ablation studies: remove cognitive moderator (test ab), remove neural/EMA data (test change in fit and effect precision), and remove mood-overlapping items (test robustness). Analysis details: pre-specify covariates (age, sex, education, SES, PHQ-9), use FIML for missingness in SEM, run Monte Carlo simulations (1,000–5,000 reps) across indirect effect grid ab = 0.03,0.05,0.07,0.10 and latent interaction small→moderate to report minimal detectable effects and sample guidance. Pilot: N=30–50 to estimate reliabilities and finalize measures.</w:t>
      </w:r>
    </w:p>
    <w:p>
      <w:r>
        <w:t xml:space="preserve"> </w:t>
      </w:r>
    </w:p>
    <w:p>
      <w:pPr>
        <w:pStyle w:val="Heading2"/>
      </w:pPr>
      <w:r>
        <w:t>Risk Factors And Limitations</w:t>
      </w:r>
    </w:p>
    <w:p>
      <w:r>
        <w:t>MoCA cutoff uncertainty: excluding participants with MoCA &lt;18 may misclassify capacity without local validation. Temporal spacing: 12-month lags may miss short-term mediation dynamics. Small effects: indirect effects (ab&lt;0.05) and latent interactions require large samples; detection may be underpowered. Confounding with depression: item overlap between apathy and depressive symptoms can bias estimates. Measurement invariance: scales may not be equivalent across age, education, language, or sites, limiting pooling. EMA compliance and selection bias: &lt;70% compliance reduces within-person inference and may bias estimates. EEG constraints: older adults may yield fewer clean trials; neural ICCs may be low. Missing data mechanism: MNAR patterns can invalidate FIML/MAR assumptions. Computational complexity: LMS latent interactions increase convergence failures and runtime. Generalizability: community-dwelling sample may not represent clinical or institutionalized populations. Multiple comparisons: many secondary analyses increase false positive risk if family-wise control is inadequate.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