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german_minority_archive_affect_study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Longitudinal mixed-methods evaluation using randomized encouragement to measure social, affective, and personal impacts of a German minority community archive in Silesia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Randomized encouragement to engage with the community archive causes a measurable increase in participants' ethnic identity scores and positive affect over six months compared to participants who do not receive encouragement.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descriptive studies of community archives, psychometric studies of ethnic identity and affect, and methodological work on ecological momentary assessment (EMA) and quasi-experimental designs like randomized encouragement and stepped-wedge rollouts. Existing archive research often documents practices and community value without strong causal tests. Affective tagging and automated sentiment methods are used but frequently lack validation against self-report or momentary measures. EMA methods increase temporal precision but have been underused in archive impact studies. Quasi-experimental designs can estimate causal effects but are rarely combined with deep oral-history data, multilingual metadata, and rigorous GDPR-aligned pipelines. Limitations in prior approaches include small non-representative samples, weak or no causal identification, insufficient cross-language psychometric validation, ad-hoc affect taxonomies without reliability targets, and limited operational detail for data governance and transcription QA.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whether and how an independent community archive affects social belonging, ethnic identity, and emotional experience within a German minority in Silesia. We combine a pre-registered longitudinal survey (baseline N=300) with 40–60 in-depth oral histories, session-level archival interaction logs, and short ecological momentary assessments (EMA) during visits. Causal inference will use a randomized encouragement intervention (invites plus incentives) and a stepped-wedge rollout of access features; analyses use intent-to-treat (ITT) and complier average causal effect (CACE) estimands. We implement a bounded 10-category affective tag schema linked to transcripts and validate tags against PANAS-derived affect, MEIM-derived identity scores, and behavioral engagement (dwell time). Main contributions are (1) a reproducible, GDPR-aligned pipeline that links qualitative narratives, multilingual metadata, and momentary affect, and (2) causal estimates of archive engagement on identity and affect. Expected outcome: robust evidence whether archive participation produces measurable psychosocial benefits and validated procedures for scaling ethical community archives.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Longitudinal survey: N=300 adults stratified by age cohorts (16–24, 25–64, 65+), gender, language proficiency, and migration/generation status, with follow-ups at 3 and 6 months. (2) Oral histories: purposive sample 40–60 interviews, plus 12–16 family intergenerational cases. (3) EMA: two one-week bursts with 3 signal-contingent prompts/day for a subsample and event-contingent prompts during archive visits. (4) Archive interaction logs: session timestamps, page/item IDs, dwell time, downloads. Baselines: (A) no encouragement control group, (B) observational matched sample using propensity score matching, (C) pre-post only model. Evaluation metrics: adapted PANAS-10 (positive/negative affect scales), MEIM-R ethnic identity score, Social Connectedness Scale, Inclusion-of-Community-in-Self single item, engagement metrics (visit frequency, dwell time), and annotation reliability (Krippendorff's alpha for affective tags; target alpha &gt;= 0.70). Statistical methods: pre-registered linear mixed-effects growth models for continuous outcomes (fixed effects: time, assignment, covariates; random intercepts for participant and family; random slopes for time), logistic mixed models for binary outcomes, ITT and CACE estimation for the encouragement arm (CACE = complier average causal effect; effect among those who comply), and propensity-score matched comparisons where randomization is infeasible. Missing data: multiple imputation and pattern-mixture sensitivity checks. Ablation studies: (1) EMA vs no-EMA: compare model fit and effect size when momentary data are included; (2) encouragement vs stepped-wedge: compare ITT/CACE estimates across designs; (3) affective tags included vs excluded as predictors: test added explanatory power of coded affect. Secondary checks: measurement invariance tests (configural, metric, scalar) for psychometric scales across language and generation strata using CFA (confirmatory factor analysis). Pre-registration: OSF with alpha=0.05 two-sided tests and power to detect d≈0.3 (80% power) assuming 20–30% attrition. Reproducibility: publish analysis code and de-identified derivatives in a public repository.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failures: recording, transcription, or EMA platform outages may reduce usable data. Data quality risks: low EMA compliance, high attrition, or poor audio leading to transcript gaps. Biases: selection bias if participants who engage differ systematically from those who do not; social desirability in self-report; language-related measurement bias if scales are not invariant across languages. Causal limits: noncompliance with encouragement reduces power and complicates CACE estimation; unmeasured confounding may remain for observational comparisons. Scalability and compute: transcript storage, encryption, and processing of audio/video add cost and require secure hosting; limited compute may slow QA and back-translation. Generalization: results from one German minority community in Silesia may not generalize to other minority archives or contexts. Legal and ethical constraints: GDPR and consent choices (open/restricted/closed) may limit available data for analysis. Reliability limits: affective tag taxonomy may not reach desired inter-rater agreement in early stages, reducing trust in coded affect signals.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