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medutil_healthcap_asset_alloc</w:t>
      </w:r>
    </w:p>
    <w:p>
      <w:r>
        <w:t xml:space="preserve"> </w:t>
      </w:r>
    </w:p>
    <w:p>
      <w:pPr>
        <w:pStyle w:val="Heading2"/>
      </w:pPr>
      <w:r>
        <w:t>Title</w:t>
      </w:r>
    </w:p>
    <w:p>
      <w:r>
        <w:t>Instrumental-variable and panel event-study analysis of how medical resource utilization and health capital affect financial asset allocation of middle-aged and elderly households</w:t>
      </w:r>
    </w:p>
    <w:p>
      <w:r>
        <w:t xml:space="preserve"> </w:t>
      </w:r>
    </w:p>
    <w:p>
      <w:pPr>
        <w:pStyle w:val="Heading2"/>
      </w:pPr>
      <w:r>
        <w:t>Short Hypothesis</w:t>
      </w:r>
    </w:p>
    <w:p>
      <w:r>
        <w:t>Acute increases in medical resource utilization causally reduce the share of household financial assets allocated to liquid and risky financial instruments among middle-aged and elderly households.</w:t>
      </w:r>
    </w:p>
    <w:p>
      <w:r>
        <w:t xml:space="preserve"> </w:t>
      </w:r>
    </w:p>
    <w:p>
      <w:pPr>
        <w:pStyle w:val="Heading2"/>
      </w:pPr>
      <w:r>
        <w:t>Related Work</w:t>
      </w:r>
    </w:p>
    <w:p>
      <w:r>
        <w:t>Existing research links health shocks and medical spending to household saving and portfolio choices using cross-sectional or simple panel regressions, limited IVs, and descriptive event studies. Prior approaches often rely on OLS or basic fixed-effects models that do not fully address endogeneity (where unobserved shocks affect both health care use and assets). Instrumental-variable studies exist but typically use coarse supply or policy instruments without full falsification or weak-instrument checks. Measurement of health is often one-dimensional (self-reports) and not harmonized across cohorts, producing measurement error. Many studies also neglect attrition, survival bias, and reproducible pipelines for sensitivity checks. These limitations leave causal estimates, heterogeneity across frailty and wealth groups, and policy-relevant welfare implications uncertain.</w:t>
      </w:r>
    </w:p>
    <w:p>
      <w:r>
        <w:t xml:space="preserve"> </w:t>
      </w:r>
    </w:p>
    <w:p>
      <w:pPr>
        <w:pStyle w:val="Heading2"/>
      </w:pPr>
      <w:r>
        <w:t>Abstract</w:t>
      </w:r>
    </w:p>
    <w:p>
      <w:r>
        <w:t>This study examines whether higher use of medical resources leads middle-aged and elderly households to change how they allocate financial assets. We combine CHARLS panel data (2015 and 2018) with a harmonized health-capital index and apply panel event-study methods and instrumental-variable (IV) estimators to estimate causal effects. The main contribution is a transparent, pre-registered identification strategy that uses plausibly exogenous supply and policy instruments, formal weak-instrument diagnostics, and full propagation of health-index uncertainty through multiple imputation and bootstrap draws. We report dynamic average treatment effects around acute health events and local average treatment effects from IV, plus welfare-relevant summaries of asset reallocation. Expected outcomes are robust causal estimates of asset-share responses to medical utilization, characterization of heterogeneity by frailty and wealth, and sensitivity bounds that inform policy on health financing and asset protection. Technical terms: IV means using a variable that shifts medical use but not assets directly; event-study means tracking outcomes before and after shocks over time.</w:t>
      </w:r>
    </w:p>
    <w:p>
      <w:r>
        <w:t xml:space="preserve"> </w:t>
      </w:r>
    </w:p>
    <w:p>
      <w:pPr>
        <w:pStyle w:val="Heading2"/>
      </w:pPr>
      <w:r>
        <w:t>Experiments</w:t>
      </w:r>
    </w:p>
    <w:p>
      <w:r>
        <w:t>Datasets: CHARLS 2015 and 2018 at household and individual level with geocode linkages when available. Samples: households with head aged 45+ with complete baseline wealth items. Health-capital index: cohort-pooled exploratory factor analysis (EFA) aligned to a reference, require &gt;=70% item availability; generate index draws via multiple imputation (m=50) and household bootstrap (B=1000). Baselines: (1) OLS and household fixed-effects regressions of asset shares on utilization and health index; (2) logit/tobit for binary or bounded asset outcomes; (3) event-study with staggered timing (Sun &amp; Abraham style) for dynamic ATT; (4) IV 2SLS using pre-specified instruments: time-varying distance/provider density (supply shocks) and narrow-window policy eligibility rollouts. Comparisons/ablations: compare 2SLS, LIML, and jackknife IV; run ablation dropping measurement-error correction; run specification with SIMEX correction and a Bayesian joint latent-variable model; compare pooled vs cohort-specific index weighting. Evaluation metrics: change in risky-asset share (percentage points), change in liquid-asset share, ATT by horizon, LATE estimate, first-stage F-statistic, partial R2, overidentification p-values, Anderson-Rubin CI, Conley bounds, and subgroup power/MDE. Experimental setup: pre-register acute shock definition (first hospitalization or new major diagnosis within 12-month window), control set and locality×time trends, cluster SEs at community level, and run placebo outcomes (non-medical spending) and lead tests. Report full multiverse matrix of estimates and uncertainty propagated across index draws.</w:t>
      </w:r>
    </w:p>
    <w:p>
      <w:r>
        <w:t xml:space="preserve"> </w:t>
      </w:r>
    </w:p>
    <w:p>
      <w:pPr>
        <w:pStyle w:val="Heading2"/>
      </w:pPr>
      <w:r>
        <w:t>Risk Factors And Limitations</w:t>
      </w:r>
    </w:p>
    <w:p>
      <w:r>
        <w:t>Weak or invalid instruments: supply or policy instruments may be weak or correlated with local economic shocks, biasing IV estimates. Measurement error: health-capital index may contain nonclassical errors that standard corrections do not fix. Survival and selection bias: deaths and attrition can change sample composition and bias dynamic estimates. Power limits: subgroup analyses (frail, low-wealth) may be underpowered. External validity: results from CHARLS may not generalize to other countries or cohorts. Computational cost: MI m=50 × bootstrap B=1000 and many IV specifications require large compute resources. Unobserved time-varying confounders: event-study and FE may not fully remove dynamic confounding. Multiple testing: many heterogeneity and robustness checks increase false-positive risk if not pre-registered.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