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lccp_stfp_green_innovation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Staggered-difference-in-differences analysis of the joint effects of low-carbon city and sci-tech finance pilots on green innovation in Chinese cities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Concurrent adoption of low-carbon city pilots (LCCP) and sci-tech finance city pilots (STFP) causes a larger increase in city-level green invention patents than adoption of either policy alone or neither, conditional on observed controls.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empirical work studies environmental policy effects and finance-for-innovation effects separately using cross-sectional comparisons, simple panel regressions, single-policy difference-in-differences (DiD), and event-study designs. Existing methods often assume homogeneous treatment timing or ignore treatment intensity, which can bias estimates when adoption is staggered across places and years. Prior studies also under-address spatial spillovers (policy effects in nearby areas), measurement error in green patent counts (mislabeling of green vs non-green patents), mediation channels (finance, R&amp;D, regulation) under post-treatment confounding, and power for count outcomes with overdispersion. Few papers combine rigorous staggered-DiD estimators, spatial identification, IV timing shocks, and machine-learned patent classification with explicit measurement-error correction and cost-effectiveness accounting.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estimates whether and how simultaneous low-carbon city (LCCP) and sci-tech finance city (STFP) pilot policies jointly affect green invention output in Chinese cities. Using a city-year panel (≈278 cities, 2006–2021), we apply staggered difference-in-differences estimators (group-time ATTs) that adjust for heterogeneous adoption timing, instrument timing shocks where plausible, and spatial dependence via multiple spatial weight matrices. We construct primary outcomes with a reproducible green-patent classifier and quantify classification uncertainty to correct attenuation in treatment effects. We also test mediation channels—government tech funding, environmental regulation, and venture-capital agglomeration—and report heterogeneity by city size, region, and environmental baseline. Main contributions are (1) a pre-registered, bias-aware identification strategy for joint policy effects, (2) an integrated measurement pipeline for green patents with error correction, and (3) policy-relevant cost-effectiveness metrics. Expected outcome: credible estimates of the interaction effect (LCCP×STFP), mapped channels, and spatial diffusion patterns to inform urban policy design.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city-year panel for ~278 Chinese cities, 2006–2021; CNIPA patent records (titles, abstracts, IPC/CPC, inventors, assignees); municipal/provincial LCCP and STFP designation documents and budgets; bank green loan volumes, VC investment flows, firm R&amp;D from CSMAR/Qichacha; city covariates (GDP, population, industrial shares, emissions). Baselines: (A) TWFE DiD (two-way fixed effects) on log(1+green_patents); (B) Callaway &amp; Sant’Anna group-time ATT (csdid) as primary binary-treatment estimator; (C) Sun &amp; Abraham event-study as robustness; (D) IV DiD using province announcement date and cadre-rotation indicators; (E) spatial DiD / Spatial Durbin Model (SDM) for spillovers. Outcome models: hurdle negative-binomial (primary count model), zero-inflated NB, and PPML FE. Patent measurement comparisons: rule-based WIPO/IPC tag vs ML classifier (fine-tuned Chinese BERT ensemble). Evaluation metrics: ATT point estimates and 95% CI, marginal effects, p-values, placebo lead coefficients, pre-trend test p-values, classifier precision/recall/F1, simulated minimum detectable effects (MDE) and empirical power, and cost per incremental green patent with bootstrap CI. Experimental setup: predefine treatment coding (binary switches in designation year), continuous intensity measures (budget per 10k pop, scope index, enforcement index), and interaction LCCP×STFP; cluster SEs at city level; use wild cluster bootstrap or randomization inference when treated clusters are few. Instruments: first-stage F-stat (&gt;10), partial R2, overidentification tests. Spatial matrices: queen contiguity, inverse-distance (1/d^2 capped), economic-tie weights, patent-citation network; run neighbor-exclusion and k-nearest (k=5) checks. Patent classifier training: labeled set n&gt;=2000 stratified by year and IPC with 10% double coding; 10-fold stratified CV; report confusion matrices. Ablation studies: (1) drop intensity measures (use binary only); (2) replace ML labels with rule-based tags; (3) exclude spatial neighbors from sample; (4) use TWFE instead of csdid; compare ATT changes. Simulation checks: Monte Carlo MDEs under negative-binomial outcomes with baseline mean=2 patents/year and overdispersion theta in {0.5,1,2,5}, 200 cities, 13 years, clustered SEs to estimate detectable relative effects at 80% power. Pre-registered heterogeneity: city size terciles, east/central/west regions, baseline emissions terciles.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Measurement error: misclassification of green patents may bias ATT; SIMEX and audit samples help but corrections are imperfect, especially for nonlinear count models. 2) Data access delays: CNIPA, CSMAR, or Qichacha access or IRB approvals may delay labeled training sets or firm linkages, affecting timelines. 3) Endogeneity: city selection into pilots may correlate with unobserved trends; instruments (province announcements, cadre rotation) may be weak or violate exclusion. 4) Staggered-DiD bias: TWFE can produce negative weights; group-time estimators mitigate but rely on parallel trends within groups. 5) Spatial spillovers: SUTVA (no interference) is violated when policies diffuse; interpreting direct vs indirect effects depends on W choices and row-standardization. 6) Small-cluster inference: few treated clusters in some waves may require wild bootstrap or randomization inference; standard clustered SEs may be invalid. 7) Count-model limitations: overdispersion or excess zeros can reduce power and complicate measurement-error correction. 8) Computation and reproducibility: ML fine-tuning and spatial models require compute resources; reproducible containerization is needed but adds overhead. 9) External validity: results on Chinese cities and these pilot programs may not generalize to other countries or policy designs.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