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tmtbi_gdc_gi_gf_ep_pak_smes</w:t>
      </w:r>
    </w:p>
    <w:p>
      <w:r>
        <w:t xml:space="preserve"> </w:t>
      </w:r>
    </w:p>
    <w:p>
      <w:pPr>
        <w:pStyle w:val="Heading2"/>
      </w:pPr>
      <w:r>
        <w:t>Title</w:t>
      </w:r>
    </w:p>
    <w:p>
      <w:r>
        <w:t>Three-wave panel structural equation modeling of top management team behavioral integration, green dynamic capabilities, green innovation, green finance, and environmental performance in Pakistani manufacturing SMEs</w:t>
      </w:r>
    </w:p>
    <w:p>
      <w:r>
        <w:t xml:space="preserve"> </w:t>
      </w:r>
    </w:p>
    <w:p>
      <w:pPr>
        <w:pStyle w:val="Heading2"/>
      </w:pPr>
      <w:r>
        <w:t>Short Hypothesis</w:t>
      </w:r>
    </w:p>
    <w:p>
      <w:r>
        <w:t>Greater behavioral integration of top management teams causally increases firm environmental performance via increased green dynamic capabilities and green innovation, and this mediated effect is stronger when green finance availability is higher.</w:t>
      </w:r>
    </w:p>
    <w:p>
      <w:r>
        <w:t xml:space="preserve"> </w:t>
      </w:r>
    </w:p>
    <w:p>
      <w:pPr>
        <w:pStyle w:val="Heading2"/>
      </w:pPr>
      <w:r>
        <w:t>Related Work</w:t>
      </w:r>
    </w:p>
    <w:p>
      <w:r>
        <w:t>Existing studies link top management team (TMT) characteristics to firm outcomes using cross-sectional regressions, single-wave SEM, or case studies. Research on dynamic capabilities and green innovation shows associations with environmental performance, often modeled as reflective latent constructs. Green finance studies typically measure access or adoption and test moderation in regression frameworks. Limitations in prior work include reliance on cross-sectional data that cannot establish temporal order, weak or untested measurement choices for formative outcomes (for example environmental performance), limited use of multilevel or panel fixed-effects designs that control for time-invariant firm heterogeneity, sparse validation of self-reports with objective records, and few rigorous tests of latent interactions (moderation) using robust estimators. Prior IV and natural-experiment approaches for finance uptake often lack pre-registered exclusion checks, and mediation analyses rarely combine longitudinal cross-lagged SEM with validated formative handling of composite outcomes.</w:t>
      </w:r>
    </w:p>
    <w:p>
      <w:r>
        <w:t xml:space="preserve"> </w:t>
      </w:r>
    </w:p>
    <w:p>
      <w:pPr>
        <w:pStyle w:val="Heading2"/>
      </w:pPr>
      <w:r>
        <w:t>Abstract</w:t>
      </w:r>
    </w:p>
    <w:p>
      <w:r>
        <w:t>This study examines whether and how behavioral integration of top management teams (TMTBI) affects environmental performance (EP) in Pakistani manufacturing SMEs. We use a three-wave panel design and structural equation modeling to test a causal chain: TMTBI → green dynamic capabilities (GDC) → green innovation (GI) → EP, with green finance (GF) as a moderator of key links. Main contributions are (1) combining panel fixed-effects and cross-lagged SEM for temporal ordering, (2) modeling EP as a validated formative composite and testing alternative reflective specifications, and (3) evaluating GF as a latent moderator using robust latent-interaction estimators. Expected outcomes include estimates of direct, indirect (mediated), and moderated effects that are more causally credible than cross-sectional studies, and validated measurement models linking self-reports to objective utility and financial records for a validation subset. Results will inform theory on upper echelons and capability-driven green transitions and provide evidence relevant to SME-focused green finance policy.</w:t>
      </w:r>
    </w:p>
    <w:p>
      <w:r>
        <w:t xml:space="preserve"> </w:t>
      </w:r>
    </w:p>
    <w:p>
      <w:pPr>
        <w:pStyle w:val="Heading2"/>
      </w:pPr>
      <w:r>
        <w:t>Experiments</w:t>
      </w:r>
    </w:p>
    <w:p>
      <w:r>
        <w:t>Datasets: primary data are a three-wave panel survey of Pakistani manufacturing SMEs targeting N=350 firms (minimum N=200); waves spaced to establish temporal ordering. Validation subset: stratified 20–30% of firms with objective environmental performance records (utility bills, ISO14001, Pak-EPA compliance) and anonymized bank/State Bank loan records for green finance. Baselines: (A) cross-sectional SEM on wave-1 data; (B) panel fixed-effects regressions without mediation; (C) PLS-SEM formative EP handling; (D) product-indicator latent-interaction estimator. Primary estimators: cross-lagged panel SEM with firm fixed effects (controls for time-invariant confounders), latent moderated structural equations (LMS) for interactions, multilevel SEM if ICCs justify. Measurement tests: compare formative EP (PLS and two-stage composite) versus reflective CFA. Missing data: multilevel multiple imputation (mitml/mice). Identification/robustness: IV analyses where credible instruments exist, difference-in-differences if exogenous shocks identified, Oster bounds for selection, placebo outcomes and geographic falsification tests. Evaluation metrics: SEM fit indices (CFI, TLI &gt;0.90 preferred; RMSEA &lt;0.08), composite reliability and AVE for reflective constructs, outer VIF &lt;3.5 for formative indicators, significance and bootstrap 95% bias-corrected CIs for indirect effects (5,000 resamples), effect sizes (standardized betas), interaction simple slopes and Johnson-Neyman regions, predictive R2 for EP. Comparisons/ablations: (1) full model vs drop-GF moderator; (2) full model vs drop-GDC mediator; (3) formative EP vs reflective EP specifications; (4) LMS vs product-indicator interaction estimator; (5) estimated with and without bank-validated GF indicators. Software and reproducibility: preregistered R scripts (lavaan/semTools, simsem), Mplus templates for LMS, RNG seeds and package versions stored in repository. Pre-specified reporting: point estimates, CIs, pre-registered decision rules for IV switching (exact F-stat thresholds) and aggregation thresholds (ICC(1), ICC(2), rwg).</w:t>
      </w:r>
    </w:p>
    <w:p>
      <w:r>
        <w:t xml:space="preserve"> </w:t>
      </w:r>
    </w:p>
    <w:p>
      <w:pPr>
        <w:pStyle w:val="Heading2"/>
      </w:pPr>
      <w:r>
        <w:t>Risk Factors And Limitations</w:t>
      </w:r>
    </w:p>
    <w:p>
      <w:r>
        <w:t>Attrition: multi-wave surveys risk sample loss that reduces power and can bias longitudinal estimates. Measurement error: self-reported EP and GF indicators may be noisy; formative weight instability can occur with small samples. External validation denial: banks or agencies may delay or refuse access to objective validation records. Instrument weakness: candidate instruments for GF may have weak first-stage relationships (low F-stat) or fail exclusion restrictions, limiting causal IV inference. Unobserved time-varying confounders: fixed effects do not control for unmeasured factors that change over time and affect both TMT behavior and EP. Sample size: failure to reach N=350 reduces power to detect mediated or moderated effects, especially latent interactions. Convergence and estimation: LMS and multilevel SEM can fail to converge or give unstable estimates with complex models or small clusters. Generalizability: findings will be specific to Pakistani manufacturing SMEs and may not transfer to large firms, other sectors, or other countries. Common-method bias: even with procedural remedies, residual common-method variance may inflate associations. Multicollinearity: high correlation among predictors (e.g., GDC and GI) can obscure distinct mediation paths.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