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esg_tfp_ofdi_mode_choice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theoretical and empirical study using staggered difference-in-differences and instrumental variables of how firm ESG performance affects outward foreign direct investment mode choice through total factor productivity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firm ESG performance causally increases the probability that a firm selects acquisition (rather than greenfield or joint venture) for outward foreign direct investment by raising the firm's total factor productivity.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covers three connected areas: (1) ESG and firm performance: studies show ESG correlates with better productivity, lower financing costs, and reputational benefits, but many use observational correlations vulnerable to reverse causality and measurement error; (2) OFDI mode choice and theory: international business and trade literatures explain mode choice with OLI (ownership-location-internalization) and new-new trade productivity thresholds, often using multinomial models but rarely accounting for ESG; (3) causal methods for policy shocks: staggered difference-in-differences and instrumental-variable approaches have been applied to disclosure or regulation shocks, yet limitations remain in instrument exclusion credibility, weak instruments, spillovers, and incidental-parameter bias in nonlinear mode-choice models. Unresolved issues include coherent ESG measurement across providers, TFP measurement error, causal mediation (ESG-&gt;TFP-&gt;mode), and implementing valid inference for nonlinear multinomial outcomes with clustered or few clusters.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whether and how firm environmental, social, and governance (ESG) performance shapes outward foreign direct investment (OFDI) mode choice through effects on total factor productivity (TFP). We develop a formal model that integrates ESG into the OLI framework and the productivity-threshold logic of new-new trade theory, and we test the model with firm-level panel data. Empirically, we use staggered disclosure/regulation shocks and complementary instruments (leave-one-out peer ESG averages, ESG provider-entry shocks) in a pre-registered identification strategy. Mode choice is modeled as a categorical outcome (greenfield, acquisition, joint venture) using multinomial frameworks with correlated random effects and bias corrections; TFP is estimated with semi-parametric methods and treated as a moderator and mediator. We implement Bayesian latent-variable harmonization for ESG and measurement-error sensitivity, plus Monte Carlo calibrations for power and weak-instrument inference. Expected outcomes are causal estimates of ESG effects on OFDI mode and quantification of the TFP channel, informing firm strategy and policy on disclosure and investment promotion.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firm-level panel of Chinese listed companies (2008–2022), OFDI deal data (fDi Markets, SDC Platinum, ORBIS, MOFCOM/customs), multi-provider ESG scores (Bloomberg/Refinitiv, MSCI, Sustainalytics), accounting data for TFP (sales, materials, employment, capital, investment), country/industry controls, and analyst-coverage/regulatory shock dates. Baselines: (A) multinomial logit with correlated random effects (Mundlak device), (B) linear-probability model with high-dimensional firm fixed effects, (C) conditional logit (within-firm variation sample), (D) naive OLS multinomial dummies. Primary identification: Callaway &amp; Sant’Anna staggered DiD for disclosure shocks plus IVs (leave-one-out peer ESG, provider-entry). TFP estimation: Levinsohn–Petrin (LP) primary, Ackerberg–Caves–Frazier (ACF) robustness, OP/OLS checks. Measurement-error: Bayesian latent-variable harmonized ESG and SIMEX as cross-check. Pre-registration: require &gt;=3 pre- and &gt;=2 post-treatment years; event-study leads t=-3,-2,-1 and lags t=0..+4. Evaluation metrics: marginal effects (partial derivatives) of ESG and ESG×TFP on mode probabilities, cohort ATTs from CSA, first-stage F-statistics (&gt;10), Anderson–Rubin and CLR confidence intervals for IVs, mediation natural direct/indirect effects with IPW, and Monte Carlo RMSE and coverage for interaction estimates. Ablations: (1) instrument comparison: leave-one-out vs provider-entry vs disclosure timing; (2) ESG measure: raw provider scores vs Bayesian latent ESG; (3) TFP estimator: LP vs ACF vs OP/OLS; (4) model form: multinomial vs LPM vs conditional logit. Inference: cluster by firm and host-country (two-way); if cluster count &lt;50 use wild cluster bootstrap. Report sensitivity to spillovers (spatial rings and industry exclusions), multiple-testing correction (pre-specified primary tests), and sample definitions (largest-deal-per-year vs first-ever-deal).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error: ESG scores vary across providers and latent harmonization may still leave residual error, biasing interaction estimates. TFP estimation: LP/ACF require strong assumptions (monotonicity and input demand); violations cause biased TFP. Instrument validity: leave-one-out and provider-entry instruments may violate exclusion if peers or provider entry correlate with demand for assets; falsification tests may be inconclusive. Weak instruments: low first-stage strength reduces identification and requires weak-IV robust inference, increasing interval width. Nonlinear model bias: incidental-parameter bias in multinomial FE can distort effects; bias-correction may be imperfect. Spillovers and SUTVA violations: cross-firm contagion (geographic or network) may invalidate DiD or IV assumptions. Sample selection: listed Chinese firms and available deal reporting may not generalize to other countries or private firms. Clustering/few-cluster inference: small numbers of host-country clusters reduce power and complicate valid inference. Computational cost: Bayesian latent models and Monte Carlo suites are computationally intensive and may limit scope of simulations. Multiple testing: many sensitivity checks risk false positives if reporting hierarchy is not strictly enforced.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