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edna_thresholds_pilot</w:t>
      </w:r>
    </w:p>
    <w:p>
      <w:r>
        <w:t xml:space="preserve"> </w:t>
      </w:r>
    </w:p>
    <w:p>
      <w:pPr>
        <w:pStyle w:val="Heading2"/>
      </w:pPr>
      <w:r>
        <w:t>Title</w:t>
      </w:r>
    </w:p>
    <w:p>
      <w:r>
        <w:t>Empirical validation of eDNA detection thresholds and lab-workflows to monitor indicator species decline for adaptive cultural-tourism management in China's ethnic region pilots</w:t>
      </w:r>
    </w:p>
    <w:p>
      <w:r>
        <w:t xml:space="preserve"> </w:t>
      </w:r>
    </w:p>
    <w:p>
      <w:pPr>
        <w:pStyle w:val="Heading2"/>
      </w:pPr>
      <w:r>
        <w:t>Short Hypothesis</w:t>
      </w:r>
    </w:p>
    <w:p>
      <w:r>
        <w:t>Standardized eDNA sampling (three field replicates, two PCR replicates), dual-indexed libraries, and denoising pipelines (DADA2 or UNOISE+LULU) with pre-specified read and occupancy thresholds will detect a &gt;=25% seasonal decline in indicator-species occupancy with higher sensitivity (greater detection probability) than matched visual transect surveys in pilot ethnic-region sites.</w:t>
      </w:r>
    </w:p>
    <w:p>
      <w:r>
        <w:t xml:space="preserve"> </w:t>
      </w:r>
    </w:p>
    <w:p>
      <w:pPr>
        <w:pStyle w:val="Heading2"/>
      </w:pPr>
      <w:r>
        <w:t>Related Work</w:t>
      </w:r>
    </w:p>
    <w:p>
      <w:r>
        <w:t>Existing approaches to biodiversity monitoring at cultural sites use visual transects, point counts, and occasional molecular methods. eDNA (environmental DNA) has been shown to detect cryptic or rare taxa more sensitively than visual methods in many contexts, but published protocols vary in sample volume, replication, markers, lab controls, and bioinformatics. Limitations in current methods include: inconsistent LOD/LOQ (limits of detection/quantification) experiments under field-like conditions; poor handling of PCR inhibitors in turbid or low-biomass samples; variable indexing strategies that allow index-hopping (misassignment of reads) and false positives; divergent denoising/clustering pipelines that trade off rare-taxon retention versus false positives; and weak integration of detection probability into occupancy inference for small-n, clustered designs. Policy-facing pilots lack concrete numeric power tables and chain-of-custody QA that link molecular detection thresholds to management triggers. Prior work rarely couples eDNA LOD/LOQ experiments, mock-community calibration, inhibitor controls, and hierarchical occupancy models into a single, reproducible decision rule framework for adaptive site closures or visitor caps.</w:t>
      </w:r>
    </w:p>
    <w:p>
      <w:r>
        <w:t xml:space="preserve"> </w:t>
      </w:r>
    </w:p>
    <w:p>
      <w:pPr>
        <w:pStyle w:val="Heading2"/>
      </w:pPr>
      <w:r>
        <w:t>Abstract</w:t>
      </w:r>
    </w:p>
    <w:p>
      <w:r>
        <w:t>This study tests whether rigorously calibrated eDNA protocols can provide reliable, policy-grade early warning of indicator-species declines at cultural-tourism pilot sites in China's ethnic regions. We will run laboratory LOD/LOQ (limit of detection/quantification) experiments, mock-community trials, inhibitor-spike controls, and field sampling in six pilot regions (Naxi, Miao, Zhuang, She, Qiang, Tibetan). Field eDNA (water/soil) will use three field replicates, two PCR replicates per sample, dual-indexed libraries, and sequencing to defined read-depths. Bioinformatics pipelines and read-count/occupancy thresholds will be pre-specified. Detection outputs will be integrated into hierarchical Bayesian occupancy-detection models and compared to matched transect-based surveys and ecological counts. The main contribution is an end-to-end, numerical protocol set (LOD/LOQ tables, replicate rules, bioinformatics SOPs) that links molecular detection to management triggers (e.g., 25% decline). Expected outcome: demonstrable sensitivity and quantified limits for using eDNA to inform adaptive management decisions in small-N, culturally sensitive pilot sites.</w:t>
      </w:r>
    </w:p>
    <w:p>
      <w:r>
        <w:t xml:space="preserve"> </w:t>
      </w:r>
    </w:p>
    <w:p>
      <w:pPr>
        <w:pStyle w:val="Heading2"/>
      </w:pPr>
      <w:r>
        <w:t>Experiments</w:t>
      </w:r>
    </w:p>
    <w:p>
      <w:r>
        <w:t>Datasets: Field data from six pilot sites representing Naxi, Miao, Zhuang, She, Qiang, and Tibetan regions. For each site collect: (A) eDNA samples—three independent 1 L water replicates or two 250 g soil replicates per sampling point; sampling points stratified into core, buffer, amenity zones with 12–20 fixed transect points per stratum; sample rounds: two seasonal repeats per year for two years. (B) Visual transect data—fixed transects (500–1000 m) matched to eDNA transects with standardized observer effort and counts. (C) Ancillary data—photogrammetry-based habitat condition, visitor footfall logs, and household resource-extraction surveys (n=30–60 households per site). Baselines: traditional visual transect occupancy/abundance estimates and photogrammetry-derived habitat scores. Laboratory experiments: (1) LOD/LOQ serial dilutions for each marker (12S, 16S, COI, ITS2) using synthetic DNA or tissue-derived extracts across 10-fold dilutions from 1e4 to 1 copies/µL under field-like inhibitor additions (humic acid, silt). (2) Mock communities with known taxa and known copy numbers. (3) Inhibition controls: qPCR spike-in tests and inhibitor-removal kit trials. (4) Indexing comparison: unique dual-indexing versus single-index and UMI (unique molecular identifier) trials with randomized library batches. Lab QA: extraction blanks, field blanks, positive controls, and chain-of-custody records. Sequencing: target ~50k reads/sample; require taxa presence in ≥2 PCR replicates to call provisional detection. Bioinformatics: compare denoising pipelines DADA2 versus UNOISE + LULU (both explained: DADA2 denoises reads to exact sequence variants; UNOISE+LULU clusters and curates OTUs), with steps for primer trimming, chimera removal, and taxonomic assignment using regional reference databases; report assignment confidence scores. Statistical analysis: build hierarchical Bayesian occupancy-detection models that include marker-specific detection probabilities, sample-level inhibition covariates, and spatial random effects; compute detection probability (p), occupancy (ψ), and minimum detectable change (MDC) for occupancy under ICC scenarios (0.05, 0.10, 0.20). Evaluation metrics: LOD (copies/µL), LOQ, detection probability p, true positive rate (sensitivity), false positive rate (1 − specificity), AUC (area under ROC), precision/recall for taxon detection, MDE/MDC for occupancy (percent change detectable with β=0.8, α=0.05), and Cohen's/Krippendorff's alpha for inter-method agreement. Comparisons and ablations: (A) eDNA versus visual transect detection sensitivity and occupancy MDEs; (B) bioinformatics ablation: DADA2 versus UNOISE+LULU performance on mock communities and field data; (C) lab ablation: with versus without inhibitor removal, and 1 versus 2 versus 3 PCR replicates; (D) indexing ablation: unique dual-indexing versus single-indexing read-misassignment rates. Report numerical LOD/LOQ tables, detection-probability curves, and power/MDE tables for each ICC scenario and sampling design. Reproducibility: provide all experiment scripts, parameter settings, and minimal metadata schema for each sample.</w:t>
      </w:r>
    </w:p>
    <w:p>
      <w:r>
        <w:t xml:space="preserve"> </w:t>
      </w:r>
    </w:p>
    <w:p>
      <w:pPr>
        <w:pStyle w:val="Heading2"/>
      </w:pPr>
      <w:r>
        <w:t>Risk Factors And Limitations</w:t>
      </w:r>
    </w:p>
    <w:p>
      <w:r>
        <w:t>Technical failure modes: persistent PCR inhibition in turbid or organic-rich samples leading to false negatives; laboratory contamination or index-hopping producing false positives; low biomass samples below LOD causing non-detection. Data and evaluation biases: spatial clustering and small-N pilots reduce generalizability; reference database gaps cause ambiguous taxonomic assignments. Scalability: high per-sample sequencing depth and lab QA increase costs and require well-equipped labs; community stewards may need training to maintain cold chain and chain-of-custody. Statistical limits: occupancy and abundance inference in clustered, small-N designs may have wide credible intervals and depend on prior choices (sensitivity to priors). Legal/social constraints: sensitive species location data risk misuse; community consent and data-governance restrictions may limit public data release. Operational constraints: seasonal access, extreme weather, or local events may prevent planned repeats and reduce power. These factors limit the certainty with which eDNA-based triggers can be directly translated into enforcement actions without continued 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