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tourism_growth_co2_cs_ardl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causal effects of inbound tourism on economic growth and CO2 emissions in top tourist destinations using cross-sectionally augmented ARDL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Exogenous increases in inbound tourism cause higher local GDP per capita and higher local per-capita CO2 emissions in countries ranked among the top 10 tourist destinations during 1995–2023.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empirical work uses panel regressions (pooled OLS, fixed effects), panel instrumental variables (IV), difference-in-differences (DiD) and event-study designs to study tourism, growth and environment. Limitations remain: endogeneity (when causes and effects move together, biasing estimates), weak or invalid instruments (instruments that poorly predict tourism or affect outcomes directly), neglected cross-sectional dependence (countries moving together due to common shocks), and unaddressed spatial spillovers (effects leaking across neighboring destinations). Many studies also rely on noisy environmental proxies without formal measurement-error correction and do not fully account for staggered treatment timing (events occurring at different times across units). Multiple-testing across many outcomes and heterogeneity strata is often informal. These gaps reduce causal credibility and the robustness of policy-relevant effect sizes.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quantifies causal links from inbound tourism to local economic growth and CO2 emissions for countries ranked among the top 10 tourist destinations between 1995 and 2023. We apply a cross-sectionally augmented autoregressive distributed lag estimator (CS-ARDL) that accounts for common shocks across countries while estimating short-run and long-run relationships. The main contribution is a joint, causally-oriented evaluation combining: pre-specified instruments for tourism demand shocks; spatial sensitivity analysis to capture spillovers; and formal propagation of remote-sensing measurement uncertainty into inference. Expected outcomes are robust estimates of tourism's short-term and long-term effects on GDP and emissions, minimum-detectable effects for policy-relevant benchmarks, and a reproducible analysis pipeline that informs trade-offs between tourism-driven growth and environmental sustainability. Results will clarify whether tourism expansion materially increases emissions while delivering growth, and provide empirically grounded magnitudes for policy design.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annual panel 1995–2023 for countries in the top-10 tourist destinations (country-level and available subnational destination units), World Bank WDI for GDP/employment, UNWTO for arrivals/receipts/nights, national CO2 inventories and downscaled CO2 allocations, VIIRS nightlights, Sentinel/Landsat-derived NDVI/NDWI and turbidity proxies, PM2.5 gridded estimates, and origin-market indicators (source-country temperature and GDP shocks). Baselines: (1) pooled OLS, (2) country fixed effects (FE), (3) panel IV with pre-specified instruments, (4) staggered DiD estimators (Sun &amp; Abraham; Callaway &amp; Sant'Anna), and (5) CS-ARDL (primary). Evaluation metrics: long-run tourism elasticity on GDP and CO2 (coefficients), short-run impulse responses, first-stage F-statistics (&gt;10 target), Kleibergen-Paap statistic, Anderson-Rubin robust CIs, RMSE and bias of remote-sensing proxies against validation data, coverage of 95% CIs under spatial dependence, and minimum detectable effects (MDE) at 80% power. Experimental setup: unit = country or subnational destination polygon; sample = 1995–2023; pretests: stationarity (unit-root) and cointegration tests, cross-sectional dependence tests. Identification: instrument set includes exogenous seat-capacity shocks, visa liberalizations, staggered infrastructure openings, and origin-country demand shocks; for each instrument pre-specify exclusion-restriction checks and placebo outcomes. Spatial analysis: run CS-ARDL with cross-section factors plus spatial models using multiple weight matrices (k-nearest k=4,8; inverse-distance 50/100 km; gravity flows) and Conley HAC radii; report sensitivity. Ablations and comparisons: (A) CS-ARDL vs FE vs panel IV vs staggered DiD; (B) with and without measurement-error correction (SIMEX and Bayesian ME model); (C) alternate instrument subsets; (D) spatial-weight sensitivity and varying Conley radii. Falsification: lead-effect tests at -36,-24,-12 months, placebo outcomes unrelated to tourism, synthetic-control permutation tests for case studies. Reproducibility: preregister analysis plan, publish code and derived data, and produce power/MDE tables that incorporate clustered and spatially correlated errors.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Instrument validity risk: candidate instruments may violate exclusion (affect outcomes through channels other than tourism). Measurement error: remote-sensing proxies can have bias and nonclassical errors that attenuate estimates. Small effective sample and clustering: top-10 destinations produce few high-level clusters limiting asymptotic inference. Spatial dependence: strong cross-border spillovers can bias standard errors and reduce power. Staggered events: biased DiD estimates if heterogeneous dynamics are not fully modeled. Validation data limits: ground-truth samples for remote-sensing may be sparse, producing uncertain SIMEX/Bayesian calibration. Data availability and licensing: proprietary tourist-flow APIs or subnational emissions inventories may be restricted. Generalization: results for top-ten destinations may not apply to lower-volume destinations. Computational cost: Bayesian measurement-error propagation and large spatial simulations increase compute time and complexity.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