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migration_equity_bibliometrics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Topic modeling and panel regression analysis of a Scopus-based bibliometric corpus to identify geographic, thematic, and demographic gaps in global migration research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10% increase in a country's public research investment (measured as R&amp;D expenditure) causes at least a 5% increase in that country's share of migration-related publications within 24 months, after controlling for GDP per capita and migration burden.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uses bibliometric counting (raw publication counts), simple per-capita normalizations, and topic-modeling to map research fields. Other approaches geocode author affiliations to map geographic representation and apply regression or cross-sectional correlations to link national characteristics to research output. Limitations: (1) database coverage bias (English-language and Scopus-indexed journals underrepresent many regions); (2) per-capita or raw counts ignore research investment, field size, and migration burden, producing misleading comparisons; (3) topic models are often evaluated only by coherence and not validated for cross-country comparability; (4) privacy safeguards for small-group releases are weak or absent, risking disclosure; (5) legal-status harmonization is commonly ad hoc and oversimplified without provenance or uncertainty flags; (6) few studies use synthetic data or federated evaluation to validate pipelines where raw data cannot be shared. These gaps reduce fairness, reproducibility, and safe release of equity analyses.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analyzes a large Scopus-derived bibliometric corpus to measure which countries, regions, topics, and migrant subgroups are over- or under-represented in migration scholarship and to test how research investment and geographic location relate to representation. We combine topic modeling (to map thematic space), geocoded author-affiliation aggregation (to measure country representation), and panel regression with country and year fixed effects (to estimate links between research investment and publication share). We evaluate privacy-utility trade-offs by applying differential privacy (DP) to aggregate releases and by validating results on labeled synthetic datasets (so real data need not be exposed). Main contributions: (1) a reproducible pipeline that harmonizes legal-status labels with provenance flags, (2) empirical estimates of the effect of national research investment on migration-research representation, and (3) a set of validated DP and federated-release protocols and synthetic benchmarks for safe dissemination. Expected outcome: actionable, auditable evidence to inform more equitable research funding and practice in migration studies.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Scopus export of migration-related records (titles, abstracts, author affiliations, year, journal) covering 2000-2024; (2) national-level covariates: R&amp;D expenditure (percent GDP), GDP per capita, population, migration stock/flows from public international databases; (3) labeled synthetic bibliometric corpora and synthetic mobility traces for validation; (4) sample federated test data hosted by partner institutions (no raw export). Baselines: (A) raw publication counts by country; (B) per-capita publication rates (publications per million people); (C) field-normalized publication rates (normalize by subject-area size); (D) cross-sectional OLS without fixed effects. Proposed analyses: (1) Topic modeling via LDA and a contextual topic method (e.g., sentence-embedding clustering) with topic coherence and human label checks. (2) Construct annual country publication share for migration topics by aggregating geocoded affiliations. (3) Panel regression: country and year fixed effects, dependent variable = logit(country publication share), main independent = log(R&amp;D expenditure), controls = log(GDP per capita), migration burden, region dummies; estimate clustered standard errors. (4) Difference-in-differences (DiD) for countries with discrete research-funding shocks (where available). (5) Privacy experiments: apply Laplace or Gaussian DP to aggregates with epsilon values {0.1,0.5,1,2}; measure utility as absolute error and RMSE relative to true aggregates. Evaluation metrics: representation_ratio = publication_share / migration_burden_share; thematic_diversity = Shannon entropy of topic distribution by country; topic_coherence (automatic score) and human agreement rate; regression: coefficient size, t-statistic, 95% CI, adjusted R^2; DiD: treatment effect and parallel-trends test p-value; DP utility: RMSE and bias vs epsilon; geocoding accuracy: precision/recall of country assignment on held-out labeled affiliations. Ablation studies: (i) remove legal-status harmonization (three-tier crosswalk) to measure effect on subgroup estimates; (ii) compare LDA vs contextual topic method; (iii) run regressions with and without DP-noised aggregates to quantify impact of DP on inference. Reproducibility: provide runnable notebooks that load Scopus exports, produce topic labels, compute country shares, run regressions and DP experiments, and evaluate metrics.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coverage bias: Scopus underrepresents non-English and regional journals, causing systematic undercounting of some countries. Legal-status harmonization limits: three-tier mapping (regular/temporary/irregular) may misclassify complex national statuses and hide uncertainty. Causal inference limits: panel regressions may not fully identify causal effects due to unobserved confounders or reverse causality (research output could attract investment). Privacy-utility trade-off: strong DP (small epsilon) will degrade aggregate accuracy and reduce power for small groups. Geocoding errors: ambiguous or multi-affiliated authorships can misassign country; precision/recall may be low for some records. Synthetic-data validation limits: synthetic traces may not capture all real-world structure, limiting external validity. Federated analysis constraints: partner infrastructure heterogeneity and query restrictions can limit model complexity and reproducibility. Ethical/legal risks: cross-border data laws and community safety concerns may require withholding or coarsening outputs, reducing granularity. Computational scale: processing a large bibliometric corpus with topic models and DP bookkeeping requires substantial compute and storage.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