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ritual_stance_effort</w:t>
      </w:r>
    </w:p>
    <w:p>
      <w:r>
        <w:t xml:space="preserve"> </w:t>
      </w:r>
    </w:p>
    <w:p>
      <w:pPr>
        <w:pStyle w:val="Heading2"/>
      </w:pPr>
      <w:r>
        <w:t>Title</w:t>
      </w:r>
    </w:p>
    <w:p>
      <w:r>
        <w:t>Vignette-based experimental assessment of whether ritual framing changes perceived effort and emotional experience</w:t>
      </w:r>
    </w:p>
    <w:p>
      <w:r>
        <w:t xml:space="preserve"> </w:t>
      </w:r>
    </w:p>
    <w:p>
      <w:pPr>
        <w:pStyle w:val="Heading2"/>
      </w:pPr>
      <w:r>
        <w:t>Short Hypothesis</w:t>
      </w:r>
    </w:p>
    <w:p>
      <w:r>
        <w:t>Framing identical activities as ritual rather than ordinary causally reduces reported perceived difficulty and increases self-reported happiness during and after the activities.</w:t>
      </w:r>
    </w:p>
    <w:p>
      <w:r>
        <w:t xml:space="preserve"> </w:t>
      </w:r>
    </w:p>
    <w:p>
      <w:pPr>
        <w:pStyle w:val="Heading2"/>
      </w:pPr>
      <w:r>
        <w:t>Related Work</w:t>
      </w:r>
    </w:p>
    <w:p>
      <w:r>
        <w:t>Prior work spans humanities and social-science accounts that attribute special symbolic and social value to ritual acts, experimental psychology studies that test framing effects on subjective experience, and emerging multimodal work linking ritual-like stimuli to neural and physiological markers. Existing experimental approaches often use small samples, single sites, or convenience stimuli and rely mainly on self-report, producing limited power and uncertain generalizability. Neuroimaging and physiological studies of ritual-like cues report small effects but are often underpowered and lack harmonized preprocessing and multiplicity control. Cross-cultural work documents important variation in ritual meaning but rarely integrates standardized manipulation checks, measurement-invariance testing, or incentive-compatible behavioral measures. Overall limitations include weak controls for low-level perceptual confounds (e.g., motion, charisma), sparse preregistration of ROIs and multiplicity corrections, limited pilot-based ICC estimates for hierarchical models, and few studies combining behavioral, physiological, and ethnographic measures in a preregistered pipeline.</w:t>
      </w:r>
    </w:p>
    <w:p>
      <w:r>
        <w:t xml:space="preserve"> </w:t>
      </w:r>
    </w:p>
    <w:p>
      <w:pPr>
        <w:pStyle w:val="Heading2"/>
      </w:pPr>
      <w:r>
        <w:t>Abstract</w:t>
      </w:r>
    </w:p>
    <w:p>
      <w:r>
        <w:t>We test whether framing identical actions as ritual versus ordinary changes how hard people say an action is and how happy they feel during and after it. Using vignette and short video stimuli co-designed for local meaning, we randomly assign Hindu participants in Mauritius to ritual or ordinary labels and collect primary outcomes of perceived difficulty and momentary happiness, plus manipulation checks. Secondary measures include incentive-compatible willingness-to-pay, objective effort proxies (time-on-task, wrist accelerometry, heart-rate variability), and optional neural/physiological markers (EEG P300/LPP, fMRI ROI contrasts). Analysis uses hierarchical mixed-effects models with participant and stimulus random effects and preregistered Bayesian priors, and includes measurement-invariance testing across cultural codings. Main contributions are (1) a reproducible, preregistered multimodal protocol to test ritual framing effects, (2) calibrated sample-size guidance from pilot-driven simulations, and (3) validated operational markers of ritual cues. We expect small-to-medium framing effects on perceived effort and affect, clarifying when and how ritual meaning shifts cost–benefit perception.</w:t>
      </w:r>
    </w:p>
    <w:p>
      <w:r>
        <w:t xml:space="preserve"> </w:t>
      </w:r>
    </w:p>
    <w:p>
      <w:pPr>
        <w:pStyle w:val="Heading2"/>
      </w:pPr>
      <w:r>
        <w:t>Experiments</w:t>
      </w:r>
    </w:p>
    <w:p>
      <w:r>
        <w:t>Datasets: primary behavioral sample: N=800 (between-subjects) recruited from Hindu communities in Mauritius; pilot multisite sample: 4 sites × N≈40 (N=160) for ICC estimation; EEG optional: N=80–100; fMRI optional: N=50–80. Stimuli: 30–50 pretested vignettes/videos per ritual subtype (solemn/codified, repetitive/synchronous, ascetic/costly, symbolic/token, communal/public) balanced for low-level features (motion energy, contrast, audio level). Baselines: ordinary framing label (control), within-subject fallback design N=200. Evaluation metrics: primary — perceived difficulty scale (Likert), happiness during and after (Likert); secondary — willingness-to-pay (incentive-compatible BDM auction), time-on-task (seconds), accelerometry counts, HRV (ms), EEG P300/LPP amplitudes, fMRI ROI percent signal change. Psychometrics: confirmatory factor analysis (CFA) for latent perceived-effort, measurement-invariance tests (configural/metric/scalar; fit thresholds CFI&gt;0.90, RMSEA&lt;0.08), inter-rater Krippendorff’s alpha for coding (target ≥0.75). Analysis setup: preregistered hierarchical mixed-effects models with random intercepts and slopes for participant and stimulus, Bayesian priors Normal(0,0.35) for behavioral effects and modality-specific priors (EEG Normal(0,0.25); fMRI Normal(0,0.20)), decision rules Pr(β&gt;0)&gt;0.95 and ROPE=[-0.10,0.10]. Comparisons/ablations: (A) between-subject ritual vs control; (B) within-subject framing (fallback); (C) include vs exclude manipulation-check-filtered participants; (D) baseline frequentist mixed model vs Bayesian hierarchical model; (E) stimulus-cue ablation removing a core cue (e.g., synchrony) to test cue-specific effects. Preprocessing and QA: preregister stimulus selection rules, manipulation-check thresholds, and harmonized EEG/fMRI acquisition windows; report power curves driven by pilot ICCs and include sensitivity analyses across ICC ranges (0.05–0.20).</w:t>
      </w:r>
    </w:p>
    <w:p>
      <w:r>
        <w:t xml:space="preserve"> </w:t>
      </w:r>
    </w:p>
    <w:p>
      <w:pPr>
        <w:pStyle w:val="Heading2"/>
      </w:pPr>
      <w:r>
        <w:t>Risk Factors And Limitations</w:t>
      </w:r>
    </w:p>
    <w:p>
      <w:r>
        <w:t>Manipulation failure: labels or vignettes may not cause clear ritual perception, yielding null effects. Low signal-to-noise in physiological/neural data: EEG/fMRI effects may be too small for planned N, especially with scanner heterogeneity. Demand and suspicion: participants may infer hypotheses and alter responses. Measurement non-invariance: perceived-effort scales may not be comparable across cultural coders, limiting cross-site inference. Missing data: physiological sensors may fail or be noisy; high missingness undermines latent modeling. Sample bias and generalizability: results from Hindu participants in Mauritius may not generalize to other religions or cultures. Ecological validity: vignette responses may not reflect real-world behavior for costly rituals. Multiplicity and inference risk: multiple ROIs and contrasts increase false-positive risk if not strictly controlled. Resource constraints: EEG/fMRI and multisite ethnography require substantial budget and time and may force reduced sample sizes that lower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