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wfe_proactivity_dsem</w:t>
      </w:r>
    </w:p>
    <w:p>
      <w:r>
        <w:t xml:space="preserve"> </w:t>
      </w:r>
    </w:p>
    <w:p>
      <w:pPr>
        <w:pStyle w:val="Heading2"/>
      </w:pPr>
      <w:r>
        <w:t>Title</w:t>
      </w:r>
    </w:p>
    <w:p>
      <w:r>
        <w:t>Polynomial regression, response surface analysis, and dynamic structural equation modeling of work–family equilibrium effects on employee proactive behavior</w:t>
      </w:r>
    </w:p>
    <w:p>
      <w:r>
        <w:t xml:space="preserve"> </w:t>
      </w:r>
    </w:p>
    <w:p>
      <w:pPr>
        <w:pStyle w:val="Heading2"/>
      </w:pPr>
      <w:r>
        <w:t>Short Hypothesis</w:t>
      </w:r>
    </w:p>
    <w:p>
      <w:r>
        <w:t>Within-person increases in work–family equilibrium at time t cause increases in employee proactive behavior at time t+1 via reduced emotional exhaustion and increased psychological capital.</w:t>
      </w:r>
    </w:p>
    <w:p>
      <w:r>
        <w:t xml:space="preserve"> </w:t>
      </w:r>
    </w:p>
    <w:p>
      <w:pPr>
        <w:pStyle w:val="Heading2"/>
      </w:pPr>
      <w:r>
        <w:t>Related Work</w:t>
      </w:r>
    </w:p>
    <w:p>
      <w:r>
        <w:t>Prior work shows links between work–family conflict/facilitation and employee outcomes using cross-sectional and between-person multilevel methods. Many studies test conflict and facilitation separately or aggregate them into net scores, which misses joint equilibrium effects; polynomial regression with response surface analysis (RSA) is a method that models combinations of two predictors (here conflict and facilitation) but is rarely applied with intensive longitudinal data. Dynamic structural equation modeling (DSEM) and ecological momentary assessment (EMA) have been used to capture within-person processes, yet few studies combine RSA with DSEM to test lagged mediation. Existing work often relies on single-source self-report, weakly pre-specified causal controls for time-varying confounders, and limited sensitivity analyses for missing not at random (MNAR) data. Physiological measures (e.g., cortisol, HRV) are rarely integrated longitudinally to validate psychological mediators.</w:t>
      </w:r>
    </w:p>
    <w:p>
      <w:r>
        <w:t xml:space="preserve"> </w:t>
      </w:r>
    </w:p>
    <w:p>
      <w:pPr>
        <w:pStyle w:val="Heading2"/>
      </w:pPr>
      <w:r>
        <w:t>Abstract</w:t>
      </w:r>
    </w:p>
    <w:p>
      <w:r>
        <w:t>This study examines how momentary equilibrium between work–family conflict and facilitation predicts later employee proactive behavior, combining polynomial regression and response surface analysis (RSA) to define equilibrium states and dynamic structural equation modeling (DSEM) to test within-person lagged mediation. We test whether reduced emotional exhaustion and increased psychological capital mediate the effect of work–family equilibrium on subsequent proactive actions, using multi-source organizational data and intensive sampling. Main contributions are (1) integrating RSA (to capture balance vs. imbalance of conflict/facilitation) with DSEM (to capture time-ordered within-person effects), (2) pre-specifying priors, ROPE rules, and MNAR sensitivity checks, and (3) validating mediators with supervisor reports and optional physiological markers (cortisol or HRV). Expected outcomes include clear estimates of within-person indirect effects, identification of meaningful equilibrium profiles, and a reproducible analytic pipeline to inform human resource interventions.</w:t>
      </w:r>
    </w:p>
    <w:p>
      <w:r>
        <w:t xml:space="preserve"> </w:t>
      </w:r>
    </w:p>
    <w:p>
      <w:pPr>
        <w:pStyle w:val="Heading2"/>
      </w:pPr>
      <w:r>
        <w:t>Experiments</w:t>
      </w:r>
    </w:p>
    <w:p>
      <w:r>
        <w:t>Datasets: (1) Primary archival multi-source dataset: 1,354 employees, 142 HR managers, 126 companies with repeated surveys and supervisor ratings; (2) Intensive EMA pilot/sample: simulated and/or collected sample of N=120–150 participants × 30–40 moments over 10–14 days; optional physiological subsample with cortisol or HRV. Baselines: (A) between-person multilevel SEM (person-level averages), (B) aggregated OLS regressions on net work–family scores, (C) cross-lagged panel models (CLPM), (D) DSEM without RSA (standard lagged mediation), (E) polynomial regression without response surface interpretation. Main models: (1) Polynomial regression of standardized conflict and facilitation including squares and interaction; compute RSA surface parameters and test curvature and congruence lines (RSA shows whether balance or imbalance matters); (2) Three-level Bayesian DSEM (moments within persons within teams) estimating VAR(1)/AR(1) dynamics with within-person centering, structural equations: Resources_t+1 = a1*WFE_t + covariates; Motivation_t+1 = a2*Resources_t+1 + covariates; Proactivity_t+1 = b*Motivation_t+1 + c'*WFE_t + covariates; indirect = a1*a2*b (posterior multiplication). Priors: standardized regressions Normal(0,0.5); SDs half-Student-t(3,0,1); AR coefficients Normal(0,0.3). Evaluation metrics: standardized indirect effect size, posterior probability P(effect&gt;0), 95% credible intervals, ROPE checks (primary ROPE ±0.05 and sensitivity ±0.03/±0.08), WAIC/LOO for model fit, within- and between-person R2, ICCs, Rhat &lt;1.01 and ESS&gt;400 for convergence. Sensitivity analyses: IPW (stabilized weights) and g-estimation for time-varying confounding, MNAR delta-shift tests (δ=0.1,0.2,0.3 SD), pattern-mixture and shared-parameter models. Ablations: remove mediators (direct-only), test each mediator separately (emotional exhaustion vs psychological capital), omit physiological validators, compare RSA vs. net-score models, test lag structures VAR(1) vs VAR(2) using information criteria and cross-validation. Moderator tests: include job autonomy and family-supportive supervision as cross-level interactions; perform power checks for moderator effects. Pre-registration: all estimands, priors, covariates, trimming rules for extreme IPW weights, and model code (cmdstanr/brms) to be registered before analysis.</w:t>
      </w:r>
    </w:p>
    <w:p>
      <w:r>
        <w:t xml:space="preserve"> </w:t>
      </w:r>
    </w:p>
    <w:p>
      <w:pPr>
        <w:pStyle w:val="Heading2"/>
      </w:pPr>
      <w:r>
        <w:t>Risk Factors And Limitations</w:t>
      </w:r>
    </w:p>
    <w:p>
      <w:r>
        <w:t>Model nonconvergence or poor mixing for complex DSEM (high compute need; long runtimes). Low within-person reliability of ultra-short EMA items (single-item measures may yield within-person omega &lt;0.60), limiting mediation claims. Time-varying unmeasured confounding (residual variables not captured by EMA) can bias causal claims; sensitivity methods give bounds but not full identification. MNAR missingness in EMA or physiological sampling can distort estimates if patterns relate to unobserved states. Physiological assay failures (high intra/inter-assay coefficient of variation) or wearable data loss reduce validation power. Interference/spillover among teammates may violate independence assumptions (cluster effects or network ties). Generalizability limited to participating organizations and cultures sampled. Multiple testing and moderator exploration increase false positives if not strictly pre-registered. Computational scalability: DSEM with many moments and levels requires substantial cores and memory, which may limit resampling or large-scale sensitivity sweeps.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