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navigating_impact_vc_stepped_wedge</w:t>
      </w:r>
    </w:p>
    <w:p>
      <w:r>
        <w:t xml:space="preserve"> </w:t>
      </w:r>
    </w:p>
    <w:p>
      <w:pPr>
        <w:pStyle w:val="Heading2"/>
      </w:pPr>
      <w:r>
        <w:t>Title</w:t>
      </w:r>
    </w:p>
    <w:p>
      <w:r>
        <w:t>A randomized stepped-wedge field trial with time-to-event analysis to estimate the effect of concessional first-loss instruments on follow-on financing for early-stage impact ventures in frontier markets</w:t>
      </w:r>
    </w:p>
    <w:p>
      <w:r>
        <w:t xml:space="preserve"> </w:t>
      </w:r>
    </w:p>
    <w:p>
      <w:pPr>
        <w:pStyle w:val="Heading2"/>
      </w:pPr>
      <w:r>
        <w:t>Short Hypothesis</w:t>
      </w:r>
    </w:p>
    <w:p>
      <w:r>
        <w:t>Providing concessional first-loss guarantees to impact venture funds causes an increase in the probability that portfolio ventures obtain a follow-on equity financing round within 24 months.</w:t>
      </w:r>
    </w:p>
    <w:p>
      <w:r>
        <w:t xml:space="preserve"> </w:t>
      </w:r>
    </w:p>
    <w:p>
      <w:pPr>
        <w:pStyle w:val="Heading2"/>
      </w:pPr>
      <w:r>
        <w:t>Related Work</w:t>
      </w:r>
    </w:p>
    <w:p>
      <w:r>
        <w:t>Existing work assesses blended finance and impact investing using observational comparisons, donor program evaluations, and small randomized trials. Common methods include difference-in-differences (DiD) for staggered rollouts, event studies for policy shocks, and survival or duration models for firm outcomes. Prior approaches often rely on coarse treatment definitions, treat spillovers informally, or use convenience samples from a single country or accelerator. Limitations include weak identification when uptake is partial, limited modeling of network or geographic interference (spillovers), small or underpowered samples, inconsistent founder-quality signals across datasets, and sparse integration of ethnographic evidence to interpret mechanism. Work on scoring founder signals tends to be descriptive and not validated with time-to-event causal tests. These gaps leave open questions about causal effects of concessional instruments in diverse regulatory contexts and how network spillovers and ambiguous impact definitions affect inference.</w:t>
      </w:r>
    </w:p>
    <w:p>
      <w:r>
        <w:t xml:space="preserve"> </w:t>
      </w:r>
    </w:p>
    <w:p>
      <w:pPr>
        <w:pStyle w:val="Heading2"/>
      </w:pPr>
      <w:r>
        <w:t>Abstract</w:t>
      </w:r>
    </w:p>
    <w:p>
      <w:r>
        <w:t>This study tests whether concessional first-loss instruments mobilize follow-on private capital for early-stage impact ventures in frontier and emerging markets. We run a randomized stepped-wedge field trial across selected funds and regions, combined with time-to-event (survival) analysis to measure the effect on the probability and timing of follow-on equity rounds within 24 months. The trial includes a pre-specified exposure map that captures geographic and co-investor network spillovers and a validated founder-signal score used as a covariate. Main contributions are: (1) a reproducible causal estimate of first-loss effects on follow-on financing using Cox models with shared frailty (a model that accounts for clustering by fund and country), (2) formal estimation of direct and spillover effects under interference, and (3) a mixed-methods linkage where ethnographic data explain mechanisms behind quantitative results. Expected outcomes are policy-relevant estimates of mobilization effects, quantification of contamination risks from spillovers, and a replicable protocol for future blended-finance trials.</w:t>
      </w:r>
    </w:p>
    <w:p>
      <w:r>
        <w:t xml:space="preserve"> </w:t>
      </w:r>
    </w:p>
    <w:p>
      <w:pPr>
        <w:pStyle w:val="Heading2"/>
      </w:pPr>
      <w:r>
        <w:t>Experiments</w:t>
      </w:r>
    </w:p>
    <w:p>
      <w:r>
        <w:t>Datasets: 1) Fund-portfolio exports from participating impact VC funds (deal-level: date, stage, amount, governance rights, sector); 2) national procurement registries, donor grant logs, and accelerator alumni lists in Kenya, Colombia, Vietnam; 3) co-investment records (to build network ties) and public profiles (LinkedIn/AngelList) for founder signals; 4) aggregated telco or mobile-money proxies where available. Baselines: (A) Parallel control group of deals/funds without first-loss access; (B) Donor-phased quasi-experimental rollout (DiD) when randomization not possible; (C) Instrumental-variables using randomized assignment as instrument for deal-level uptake. Primary metric: binary indicator of follow-on equity round within 24 months. Secondary metrics: time-to-follow-on (months), follow-on amount, survival rate at 12/24 months, and non-financial KPIs (customers reached, procurement revenue). Evaluation models and setup: 1) Primary estimator: Cox proportional hazards model with shared frailty random effects by fund and country; include time-varying covariates for exposure and founder-signal score. (Shared frailty models account for unobserved cluster-level risk.) 2) Robustness: discrete-time logistic models, parametric Weibull hazards, and clustered robust standard errors at fund level. 3) Spillover specification: predefine geographic radii (5/20/50 km) and co-investor adjacency matrices weighted by co-investment frequency and capital share; build deal-level exposure metrics (binary exposed, exposure-weighted sum, and exponentially decayed cumulative exposure with 6- and 12-month half-lives) and include as time-varying regressors. 4) Compliance/uptake: define treated deals as those where first-loss funds committed and capital was allocated to the deal; if partial uptake occurs, estimate complier-average treatment effects with two-stage least squares using randomized assignment as instrument. 5) Power and sample: assume baseline follow-on = 30%; for a +15 percentage-point effect, α=0.05 and 80% power require ~163 deals per arm (~326 total). Target pooled sample 320–360 deals; if true effect = 10pp, target ~600 deals. Include ICC sensitivity for clustering (0.01,0.05,0.10) and attrition 10–20% in sample-size tables. 6) Ablation studies: (i) remove network exposure controls to quantify bias from unmodeled spillovers; (ii) omit founder-signal score to measure its contribution to precision; (iii) run country-by-country analyses to assess heterogeneity. 7) Pre-registration and inference: preregister primary estimand, covariates, exposure maps, and permutation-based randomization inference on network shuffles consistent with rollout constraints. 8) Missing data: implement multiple imputation by chained equations under MAR (missing at random) in main analysis and report sensitivity under MNAR scenarios.</w:t>
      </w:r>
    </w:p>
    <w:p>
      <w:r>
        <w:t xml:space="preserve"> </w:t>
      </w:r>
    </w:p>
    <w:p>
      <w:pPr>
        <w:pStyle w:val="Heading2"/>
      </w:pPr>
      <w:r>
        <w:t>Risk Factors And Limitations</w:t>
      </w:r>
    </w:p>
    <w:p>
      <w:r>
        <w:t>Technical failures: low realized sample size or short follow-up reducing power; nonrandom or partial uptake of instruments causing weak-instrument problems; violation of Cox proportional-hazards assumption (hazard ratios changing over time). Data risks: measurement error in founder-signal variables, missing or delayed registry data, and restricted telco access delaying exposure metrics. Spillovers and interference: network or geographic spillovers can bias direct effect estimates if not fully captured by exposure maps. Identification limits: unmeasured confounders and non-ignorable attrition may remain even after sensitivity checks. Legal and operational: MOU and data-access delays in one or more countries can force use of weaker contingency sources. Generalization: results limited to chosen countries, fund types, and instrument design; different regulatory or market contexts may change effects. Ethical/privacy: handling sensitive founder and deal data requires strict governance; breaches would have reputational and legal consequences.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