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social_media_usage_air_travel_cn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Instrumental-variable and mediation analysis of the effect of social media usage frequency on individual air travel behavior in China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Higher travel-related social-media exposure (per 1 SD increase) causes an increase in an individual's annual number of air trips.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Previous studies find positive associations between social media activity and travel behavior using cross-sectional regressions and theory-driven frameworks (Theory of Planned Behavior and Media System Dependency). Typical methods include OLS/logit and event-study DID; some use simple fixed effects to reduce bias. Key limitations are measurement error in passive exposure (platform logs vs self-report), reverse causality (travelers seek travel content), and unobserved confounders (local promotions, infrastructure changes). Rare studies apply strong causal identification: credible instrumental variables are uncommon, and when used they often lack explicit exclusion tests. Few works integrate validated NLP labeling of travel content, multimodal (text+image) exposure, probabilistic privacy-preserving linkage, or spatial spillover modeling. Heterogeneous effects across health status, urban/rural, and age are under-explored, and many papers do not propagate measurement-validation uncertainty into final confidence intervals.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study whether and how frequency of travel-related social-media exposure affects individual air travel choices in China. Using 2022 CFPS survey data augmented with a measurement-validation subsample and privacy-preserving linkage to OTA records, we estimate causal effects with staggered IV designs (city-level 5G rollout timing and provider promo timing) and complementary event-study DID. We integrate mediation analysis to test attitudinal channels from social-media exposure to booking intent and travel decisions. Measurement error in passive exposure is quantified using a 500-person diary and 100-person screen-record validation, and corrected via regression-calibration (a statistical method that adjusts estimates using validation data). Main contributions are (1) rigorous IV identification with explicit placebo tests and decision rules, (2) a measurement-corrected exposure pipeline combining NLP labeling and human validation, and (3) spatially disaggregated treatment-effect estimates. Expected outcomes are policy-relevant, testable estimates of exposure effects (per 1 SD and per hour/week) on annual trips, distance, and spend, with uncertainty that accounts for measurement and linkage errors.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primary: 2022 China Family Panel Studies (CFPS) individual panel; validation: 500-person 14-day travel-content diaries + nested 100-person screen-records; linkage pilot: 1,000 hashed-identifier OTA booking records; instrument data: city/prefecture 5G rollout dates, telecom promo timing, major platform outage logs; spatial: city/prefecture socioeconomics and airline O-D matrices. Baselines: (A) OLS/Poisson/zero-inflated negative binomial (ZINB) with individual fixed effects; (B) logit/probit for booking probabilities; (C) mixed logit for cabin/mode choices; (D) event-study DID (Sun &amp; Abraham; Callaway &amp; Sant’Anna); (E) IV 2SLS with robust SEs; (F) LIML and Anderson–Rubin (AR) for weak-IV robustness. Primary metrics: treatment effect estimates on annual trips (ATE/LATE), first-stage F-statistic, 95% CI coverage, root mean squared error (RMSE) for prediction tasks, classifier precision/recall/F1 and AUC for NLP labels, Moran's I and spatial lag coefficient for spillovers. Experimental setup: pre-register primary outcomes (annual trips, annual air-km, annual spend) and exposure metrics (per 1 SD, per hour/week). Primary IVs: 5G rollout and provider promos; decision rule: if first-stage F&lt;10 use LIML/AR CIs and report weak-IV robust bounds. Measurement correction ablation: compare uncorrected vs regression-calibrated vs SIMEX-corrected estimates (SIMEX = simulation-extrapolation, a method that simulates added measurement error to recover bias). Heterogeneity and robustness: per-platform disaggregation (WeChat, Douyin, Weibo, Xiaohongshu), health-status subgroups, urban/rural, age bands; placebo regressions on non-travel outcomes and pre-trend leads; linkage sensitivity: analyses using high-confidence matches only (p&gt;=0.95), medium-weighted matches (0.80-0.95) using inverse-probability weights, and exclusion of low-confidence matches. Ablation study: IV vs FE, and measurement-corrected vs uncorrected; report changes in point estimates, CI width, and statistical significance.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Measurement error: passive app logs may misclassify travel content; NLP classifiers may underperform outside the gold-standard domain (domain shift). Instrument weakness: 5G rollout or promos may produce small first-stage variation (low F) causing weak-IV bias. Exclusion restriction violations: instruments may affect travel via non-media channels (OTA UX, bundled vouchers, remote-work changes). Linkage errors: PPRL may yield false matches or nonmatches that bias estimates; medium-confidence weighting depends on accurate match-probability calibration. Spatial spillovers: neighboring areas may contaminate local treatment effects, complicating LATE interpretation. Power limits: subgroup and rare-outcome analyses may be underpowered given feasible sample sizes. Privacy/legal constraints: PIPL and partner rules may restrict linkage or public release, reducing reproducibility. Differential-privacy noise: adding DP noise to public aggregates may alter estimated magnitudes and limit external validation. Generalization: results apply to China 2022 context and major platforms studied; transfer to other countries, times, or platforms may be limited.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