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gender_stereotypes_dance_education</w:t>
      </w:r>
    </w:p>
    <w:p>
      <w:r>
        <w:t xml:space="preserve"> </w:t>
      </w:r>
    </w:p>
    <w:p>
      <w:pPr>
        <w:pStyle w:val="Heading2"/>
      </w:pPr>
      <w:r>
        <w:t>Title</w:t>
      </w:r>
    </w:p>
    <w:p>
      <w:r>
        <w:t>A mixed-methods evaluation of implicit gender biases and teacher-centered intervention strategies in dance education</w:t>
      </w:r>
    </w:p>
    <w:p>
      <w:r>
        <w:t xml:space="preserve"> </w:t>
      </w:r>
    </w:p>
    <w:p>
      <w:pPr>
        <w:pStyle w:val="Heading2"/>
      </w:pPr>
      <w:r>
        <w:t>Short Hypothesis</w:t>
      </w:r>
    </w:p>
    <w:p>
      <w:r>
        <w:t>Implementing a teacher-focused intervention that reforms teaching philosophy, methods, and evaluation will cause a greater reduction in students' implicit gender-stereotyped associations (measured by a dance-specific IAT) and increase equitable teacher invitation rates (equity-ratio) after 6 months compared to no intervention.</w:t>
      </w:r>
    </w:p>
    <w:p>
      <w:r>
        <w:t xml:space="preserve"> </w:t>
      </w:r>
    </w:p>
    <w:p>
      <w:pPr>
        <w:pStyle w:val="Heading2"/>
      </w:pPr>
      <w:r>
        <w:t>Related Work</w:t>
      </w:r>
    </w:p>
    <w:p>
      <w:r>
        <w:t>Prior work has measured implicit bias with Implicit Association Tests (IATs), used explicit attitude surveys, and trialed classroom interventions such as perspective-taking, repertoire diversification, and critical reflection. Existing approaches often rely on self-report or domain-general IATs that may not capture embodied, role-based stereotypes in dance. Observational studies document gendered teacher language and role assignments but lack standardized, scalable coding rules and often have low inter-rater reliability. AI-based movement metrics exist but show performance disparities across skin tones and body morphologies. Mixed-methods studies are rare and typically fail to connect implicit measures, observed teacher behavior, and student performance. Limitations include weak psychometrics for domain-adapted IATs in young samples, sparse power calculations for clustered school designs, limited strategies for small nonbinary subgroup analyses, and incomplete privacy or AI-fairness protocols.</w:t>
      </w:r>
    </w:p>
    <w:p>
      <w:r>
        <w:t xml:space="preserve"> </w:t>
      </w:r>
    </w:p>
    <w:p>
      <w:pPr>
        <w:pStyle w:val="Heading2"/>
      </w:pPr>
      <w:r>
        <w:t>Abstract</w:t>
      </w:r>
    </w:p>
    <w:p>
      <w:r>
        <w:t>This study addresses how implicit gender stereotypes appear and can be changed within dance classrooms. We propose a mixed-methods program combining a dance-specific implicit association measure, explicit attitude items, structured performance tasks, systematic classroom observations, and a teacher-focused intervention that targets teaching philosophy, methods, and evaluation. The main contribution is a validated measurement suite (dance-IAT, explicit vignettes, performance codes, and a fidelity codebook) plus an intervention manual and pilot-tested AI-assisted annotation pipeline. We will test effects in a clustered school design and evaluate both psychometric validity and classroom outcomes. Expected outcomes are reduced student implicit gender bias scores, increased non-gendered teacher prompts and equitable invitations, and validated observational metrics that enable reproducible evaluation. The project yields a practical framework for educators and researchers to measure and reduce gender stereotyping in dance instruction while producing open artifacts for replication.</w:t>
      </w:r>
    </w:p>
    <w:p>
      <w:r>
        <w:t xml:space="preserve"> </w:t>
      </w:r>
    </w:p>
    <w:p>
      <w:pPr>
        <w:pStyle w:val="Heading2"/>
      </w:pPr>
      <w:r>
        <w:t>Experiments</w:t>
      </w:r>
    </w:p>
    <w:p>
      <w:r>
        <w:t>Design: cluster-randomized trial with three arms: (A) full intervention (philosophy + methods + evaluation), (B) partial intervention (methods only), (C) waitlist control. Sample: 30 schools × 2 classes per school × ~20 students per class (≈1,200 students) and ~60 teachers. Additional pilot wave: 8–12 schools for feasibility. Measures: dance-IAT (40–50 balanced stimuli; D-score outcome), explicit Likert items and vignettes, three performance tasks (free-choice choreography coded for leadership/role selection; prompted choice logs; short movement battery), video-coded fidelity with equity-ratio = (invitations_genderA / n_genderA) ÷ (invitations_genderB / n_genderB) normalized by lesson-minute, and teacher behavior composite (proportion non-gendered prompts + normalized equitable feedback). Baselines: no-intervention control and attention-control PD. Evaluation metrics: primary — change in IAT D-score (continuous), teacher behavior composite (proportion), class equity-ratio (ratio normalized and log-transformed); secondary — performance-task role diversity, student self-efficacy scores, IAT reliability (split-half, test–retest), and AI metrics (keypoint RMSE, precision, recall, subgroup disparity). Analysis: multilevel linear mixed models (students nested in classes nested in schools), intent-to-treat and per-protocol contrasts, hierarchical gatekeeping for primaries, measurement invariance tests for IAT across subgroups, and multilevel mediation models linking teacher behavior to student implicit outcomes. Ablations: factorial comparison of full vs partial intervention, and annotation study comparing human-only coding vs hybrid AI-assisted coding. Power: report MDE tables from simulation workbook across ICCs .01–.10 and effect sizes d=0.20–0.50; target ~80% power to detect d≈0.30 at student level with ICC≈.03.</w:t>
      </w:r>
    </w:p>
    <w:p>
      <w:r>
        <w:t xml:space="preserve"> </w:t>
      </w:r>
    </w:p>
    <w:p>
      <w:pPr>
        <w:pStyle w:val="Heading2"/>
      </w:pPr>
      <w:r>
        <w:t>Risk Factors And Limitations</w:t>
      </w:r>
    </w:p>
    <w:p>
      <w:r>
        <w:t>IAT validity for children and adolescents may be weak (construct and age sensitivity). Social desirability and Hawthorne effects may alter teacher or student behavior during observations. Low sample sizes for nonbinary or minoritized gender groups can limit subgroup inference and require partial-pooling approaches. AI pose-estimation may perform worse for some skin tones, body shapes, clothing, or movement types, producing biased metrics. Video data raise consent and privacy constraints that can reduce usable data (opt-outs). Clustered design is sensitive to school-level attrition and contamination between teachers. Generalization across cultural contexts and different dance traditions may be limited. Computational demands for video processing and human coding scale with sample size and may limit real-time feedback.</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