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gfz_construction_sbm_malmquist</w:t>
      </w:r>
    </w:p>
    <w:p>
      <w:r>
        <w:t xml:space="preserve"> </w:t>
      </w:r>
    </w:p>
    <w:p>
      <w:pPr>
        <w:pStyle w:val="Heading2"/>
      </w:pPr>
      <w:r>
        <w:t>Title</w:t>
      </w:r>
    </w:p>
    <w:p>
      <w:r>
        <w:t>Evaluating construction-sector carbon emission efficiency in the Guangdong-Fujian-Zhejiang coastal urban agglomeration using an unexpected-output slack-based measure data envelopment analysis and the Malmquist productivity index</w:t>
      </w:r>
    </w:p>
    <w:p>
      <w:r>
        <w:t xml:space="preserve"> </w:t>
      </w:r>
    </w:p>
    <w:p>
      <w:pPr>
        <w:pStyle w:val="Heading2"/>
      </w:pPr>
      <w:r>
        <w:t>Short Hypothesis</w:t>
      </w:r>
    </w:p>
    <w:p>
      <w:r>
        <w:t>Cities that reduce clinker intensity and increase prefabrication share will show higher construction-sector carbon emission efficiency (lower CO2 per unit of construction output) over 2013–2022 than cities that do not.</w:t>
      </w:r>
    </w:p>
    <w:p>
      <w:r>
        <w:t xml:space="preserve"> </w:t>
      </w:r>
    </w:p>
    <w:p>
      <w:pPr>
        <w:pStyle w:val="Heading2"/>
      </w:pPr>
      <w:r>
        <w:t>Related Work</w:t>
      </w:r>
    </w:p>
    <w:p>
      <w:r>
        <w:t>Prior studies measure sectoral emission efficiency using Data Envelopment Analysis (DEA) and Stochastic Frontier Analysis (SFA). DEA variants include slack-based measures (SBM) that account for excess inputs/outputs, and undesirable-output models that treat CO2 as a bad output. Productivity dynamics are commonly tracked with Malmquist or Malmquist-Luenberger indexes, which separate efficiency change from technical change. Construction-sector studies apply life-cycle accounting and input-output methods to estimate embodied emissions, and some spatial studies downscale activity using remote sensing. Limitations: many works use static or national default emission factors rather than calibrated plant-level EFs, leading to biased estimates; temporal evolution is often ignored or measured with coarse indices; spatial allocation frequently lacks parcel-level resolution and uncertainty propagation; uncertainty analyses are limited or ad-hoc; causal claims about policies (prefab, SCM use) are weak due to poor instruments and power calculations. Overall, existing methods lack integrated plant-level EF calibration, rigorous uncertainty quantification, high-resolution spatial downscaling, and pre-registered causal tests in one framework.</w:t>
      </w:r>
    </w:p>
    <w:p>
      <w:r>
        <w:t xml:space="preserve"> </w:t>
      </w:r>
    </w:p>
    <w:p>
      <w:pPr>
        <w:pStyle w:val="Heading2"/>
      </w:pPr>
      <w:r>
        <w:t>Abstract</w:t>
      </w:r>
    </w:p>
    <w:p>
      <w:r>
        <w:t>This study measures how carbon emission efficiency in the construction industry evolved across the Guangdong–Fujian–Zhejiang coastal urban agglomeration from 2013 to 2022. We build a harmonized city-year bottom-up dataset combining calibrated plant-level cement/clinker emission factors, inter-provincial material flow matrices, bill-of-materials downscaled to parcels using Sentinel/Landsat footprints, and on-site energy use. We apply an unexpected-output slack-based measure (SBM) DEA—an approach that treats CO2 as an undesirable, or unexpected, output and measures inefficiencies as slacks—and compute Malmquist productivity indexes to decompose efficiency change and technology change over time. We quantify uncertainty with 10,000 Monte Carlo draws and global sensitivity (Morris screening and Sobol indices). We pre-register causal tests (staggered DID, synthetic control, IV) to link policy levers (prefabrication, clinker reduction) to efficiency. The main contribution is an integrated, reproducible protocol that combines calibrated EFs, spatially explicit allocation, rigorous uncertainty, and causal identification to produce policy-relevant, testable estimates of avoidable construction CO2 at city scale.</w:t>
      </w:r>
    </w:p>
    <w:p>
      <w:r>
        <w:t xml:space="preserve"> </w:t>
      </w:r>
    </w:p>
    <w:p>
      <w:pPr>
        <w:pStyle w:val="Heading2"/>
      </w:pPr>
      <w:r>
        <w:t>Experiments</w:t>
      </w:r>
    </w:p>
    <w:p>
      <w:r>
        <w:t>Datasets: 1) plant-level cement/clinker production and fuel use from CEADs, provincial filings, and yearbooks; 2) customs/port throughput, China Railway freight stats, and enterprise shipment reports for material flows; 3) city-year construction outputs (completed floor area, construction value); 4) Sentinel-2/Landsat annual built-up footprints and cadastral samples; 5) provincial grid emission factors and NDRC/MEP inventory totals; 6) policy rollout timing and prefab factory records. Baselines: A) standard output-oriented DEA ignoring undesirable outputs; B) slack-based DEA without unexpected-output formulation; C) SFA (bad-output specification); D) Malmquist index computed with fixed national EFs (no calibration). Main method: unexpected-output SBM-DEA (CO2 as undesirable output) and Malmquist (Malmquist-Luenberger) index for dynamic change. Uncertainty: Monte Carlo 10,000 iterations with correlated draws (Gaussian copula/Cholesky). Ablation studies: 1) calibrated plant-level EFs vs fixed national EFs; 2) parcel-level BOM downscaling vs city-aggregate allocation; 3) include vs exclude transport embodied emissions. Causal tests: staggered DID/event-study for prefab or subsidy rollouts, synthetic control for single-city interventions, IV using distance to major cement/steel plants or port as instrument; report first-stage F-statistics and placebo tests. Evaluation metrics: DEA efficiency scores, percent avoidable CO2 = (1−efficiency)×observed CO2, Malmquist index and decomposition (efficiency change, technical change), bootstrap 95% CI for scores, RMSE and bias vs NDRC/CEADs totals, Sobol first- and total-order sensitivity indices, power and MDE tables for causal designs, and falsification/placebo p-values. Experimental setup: apply methods to all prefecture-level cities in Guangdong, Fujian, Zhejiang for 2013–2022; compute city-year scores, ML indices, and run Monte Carlo uncertainty; validate bottom-up totals against official inventories with holdout cities; report tabulated comparisons and graphs for ablations.</w:t>
      </w:r>
    </w:p>
    <w:p>
      <w:r>
        <w:t xml:space="preserve"> </w:t>
      </w:r>
    </w:p>
    <w:p>
      <w:pPr>
        <w:pStyle w:val="Heading2"/>
      </w:pPr>
      <w:r>
        <w:t>Risk Factors And Limitations</w:t>
      </w:r>
    </w:p>
    <w:p>
      <w:r>
        <w:t>1) Data gaps: plant-level fuel use or provincial trade tables may be incomplete, causing biased EF calibration and flow matrices. 2) Temporal inconsistency: satellite-built maps may be available only to 2020, increasing uncertainty for 2021–2022 attribution. 3) Spatial misclassification: ML typology errors where cadastral data are absent can misallocate materials; confusion matrices may reveal low accuracy. 4) Double-counting or boundary errors: unclear lifecycle boundaries (embodied materials vs producing-industry emissions) can distort totals. 5) Causal identification limits: instruments (distance to plants/ports) may violate exclusion restrictions or be weak; small treated-sample sizes can reduce power. 6) Computational cost: Monte Carlo (10,000 draws) combined with Sobol analysis and bootstrap DEA is compute-intensive and may require substantial cloud resources. 7) Model sensitivity: DEA results depend on input/output choice and scaling; SFA assumptions (noise distribution) may not hold. 8) Generalization: findings for the Guangdong–Fujian–Zhejiang agglomeration may not transfer to other regions with different supply chains or construction practices. 9) Ethical and access constraints: NDAs and provincial data confidentiality may limit public release of raw datasets, restricting reproducibility to synthetic subsets.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