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beyond_chorea_nkx2_1</w:t>
      </w:r>
    </w:p>
    <w:p>
      <w:r>
        <w:t xml:space="preserve"> </w:t>
      </w:r>
    </w:p>
    <w:p>
      <w:pPr>
        <w:pStyle w:val="Heading2"/>
      </w:pPr>
      <w:r>
        <w:t>Title</w:t>
      </w:r>
    </w:p>
    <w:p>
      <w:r>
        <w:t>Reflexive thematic analysis of lived experiences in NKX2-1-related disorders using a focus group and semi-structured interviews</w:t>
      </w:r>
    </w:p>
    <w:p>
      <w:r>
        <w:t xml:space="preserve"> </w:t>
      </w:r>
    </w:p>
    <w:p>
      <w:pPr>
        <w:pStyle w:val="Heading2"/>
      </w:pPr>
      <w:r>
        <w:t>Short Hypothesis</w:t>
      </w:r>
    </w:p>
    <w:p>
      <w:r>
        <w:t>Greater respiratory involvement in individuals with NKX2-1-related disorders causes lower psychosocial well-being, evidenced by higher anxiety and depression scores and lower quality-of-life patient-reported outcomes.</w:t>
      </w:r>
    </w:p>
    <w:p>
      <w:r>
        <w:t xml:space="preserve"> </w:t>
      </w:r>
    </w:p>
    <w:p>
      <w:pPr>
        <w:pStyle w:val="Heading2"/>
      </w:pPr>
      <w:r>
        <w:t>Related Work</w:t>
      </w:r>
    </w:p>
    <w:p>
      <w:r>
        <w:t>Prior work includes small qualitative and mixed-methods studies of NKX2-1 and related rare multisystem disorders that document caregiver and patient narratives, psychosocial burden, and clinical heterogeneity. Existing approaches often combine interviews with brief clinical measures but show consistent gaps: small, non-representative samples; limited or inconsistent cross-cultural validation of patient-reported outcome (PRO) instruments; weak integration of genotype data with lived-experience analysis; ad hoc procedures for incidental genetic findings and recontact; and variable coding QA practices across sites. Methods used previously emphasize narrative richness but lack standardized stopping rules, reproducible genotype-grouping algorithms, and pre-specified procedures for handling very small strata or discordant cases. These weaknesses limit reproducibility, cross-site comparability, and the ability to draw defensible links between clinical phenotype (for example, respiratory severity) and psychosocial outcomes.</w:t>
      </w:r>
    </w:p>
    <w:p>
      <w:r>
        <w:t xml:space="preserve"> </w:t>
      </w:r>
    </w:p>
    <w:p>
      <w:pPr>
        <w:pStyle w:val="Heading2"/>
      </w:pPr>
      <w:r>
        <w:t>Abstract</w:t>
      </w:r>
    </w:p>
    <w:p>
      <w:r>
        <w:t>We address how multisystem clinical features of NKX2-1-related disorders shape daily life and psychosocial well-being. We will conduct one focus group and five in-depth semi-structured interviews with adult patients and caregivers across Europe and North America, plus targeted clinician interviews, and collect brief cognitive screens and validated PROs. We will apply reflexive thematic analysis informed by grounded theory principles to generate themes about needs and daily impact. We will integrate qualitative themes with descriptive PRO statistics (medians, IQR) and standardized genotype/phenotype checklists in joint displays to explore patterns without making inferential claims beyond the sample. Main contributions: (1) reproducible, cross-cultural protocol for triangulating lived experience, PROs, and genotype; (2) an explicit, auditable codebook and stopping rule for saturation; and (3) a prioritized list of patient-centered care gaps and future research questions. Expected outcome: actionable recommendations for clinicians, patient organizations, and researchers and a pilot dataset demonstrating feasibility of integrated, multisite qualitative-genetic work in rare diseases.</w:t>
      </w:r>
    </w:p>
    <w:p>
      <w:r>
        <w:t xml:space="preserve"> </w:t>
      </w:r>
    </w:p>
    <w:p>
      <w:pPr>
        <w:pStyle w:val="Heading2"/>
      </w:pPr>
      <w:r>
        <w:t>Experiments</w:t>
      </w:r>
    </w:p>
    <w:p>
      <w:r>
        <w:t>Participants and datasets: recruit 20–30 adult patients with confirmed NKX2-1 variants, 10–15 caregivers, and 5–10 clinicians across Europe and North America; per-stratum minimum n=6 for critical strata (age bands, respiratory involvement, thyroid involvement, genotype groups). Collect: (1) audio-recorded semi-structured interviews and one focus group; (2) PROs: PROMIS anxiety and depression short forms, GAD-7, PHQ-9, PROMIS respiratory items, and a brief quality-of-life PRO; (3) cognitive screeners: RUDAS primary, MoCA with education correction as supplement; (4) standardized clinical/ genetic CRF including NKX2-1 variant class and HGVS notation. Baselines: (A) descriptive baseline = thematic analysis without genotype integration; (B) quantitative baseline = normative PRO distributions from published general-population samples or matched rare-disease registry controls where available. Evaluation metrics: qualitative: code-saturation trajectory and meaning-saturation index (report number of new codes per interview); interrater reliability = Cohen's kappa for categorical codes (target ≥0.70 final), ICC for scale codes (target ≥0.75); proportion concordance in joint displays (percentage of cases where qualitative theme aligns with PRO threshold). Quantitative: medians and IQR for PROs; group comparisons using nonparametric tests (Mann–Whitney U) and effect size (Cliff's delta); association between respiratory severity (ordinal scale) and psychosocial PROs via Spearman rho; where sample allows, multigroup CFA (confirmatory factor analysis) for instrument invariance across languages (ΔCFI &lt;0.01, ΔRMSEA &lt;0.015). Statistical thresholds: two-sided p&lt;0.05 for exploratory tests; if sample small, present Bayesian credible intervals. Experimental setup: pilot n=3 patient interviews to test burden and procedures; stop recruitment per stratum after three consecutive interviews yield no new codes. Translations: forward/back-translation and cognitive debriefing (5–10 native speakers per language). Ablation studies: (1) remove genotype field from joint displays to measure change in emergent patterns; (2) compare analyses using unvalidated translations vs validated translations to quantify measurement shifts (difference in median PROs and CFA fit); (3) vary double-coding fraction (10% vs 20% vs 30%) and report kappa changes. Secondary analyses: single-case descriptive profiles for strata with n&lt;5 and negative-case analysis for discordant phenotype–genotype cases. Reproducibility: archive de-identified joint-display templates, codebook changelogs, and calibration materials.</w:t>
      </w:r>
    </w:p>
    <w:p>
      <w:r>
        <w:t xml:space="preserve"> </w:t>
      </w:r>
    </w:p>
    <w:p>
      <w:pPr>
        <w:pStyle w:val="Heading2"/>
      </w:pPr>
      <w:r>
        <w:t>Risk Factors And Limitations</w:t>
      </w:r>
    </w:p>
    <w:p>
      <w:r>
        <w:t>Small sample sizes and rare-variant strata may prevent robust quantitative inference and CFA power; results may not generalize beyond sampled sites or languages. Selection bias: recruited participants via registries and patient organizations may over-represent engaged or higher-resourced families. Measurement bias: translated PROs may not achieve full measurement invariance, causing cross-language comparability limits. Causal inference limits: cross-sectional observational data cannot prove causation despite hypothesis wording. Coding drift and variable interrater reliability across sites may reduce reproducibility. Ethical risks: returning VUS or reclassified variants may cause psychosocial harm if not carefully managed; consent comprehension may vary by language/education. Data privacy risks: linkage of qualitative narratives with genetic data increases re-identification risk despite pseudonymization. Resource limits: transcription, translation, and multi-site harmonization may delay timelines and reduce double-coding coverage. Video/media use raises storage, consent, and secondary-use limitations. Scalability is limited: methods intensive and may not scale to large cohorts without loss of qualitative depth.</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