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e_trust_satisfaction_repurchase_bd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longitudinal structural equation modeling and instrumental-variable analysis of e-trust and e-customer satisfaction effects on online repurchase intentions among Bangladeshi university students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baseline e-trust causally increases later online repurchase intention, and this effect is mediated by intervening e-customer satisfaction measured between baseline and outcome.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typically models e-trust, e-satisfaction, and repurchase intention using cross-sectional structural equation models (SEM) or single-wave surveys and finds positive associations between trust, satisfaction, and repurchase intention. Experimental studies on trust cues (for example trust badges or reviews) test short-term causal effects on perceived trust but rarely link them to later repurchase intention. Econometric approaches using instrumental variables (IV) or two-stage least squares (2SLS) are uncommon in this literature and often rely on weak or contested instruments. Longitudinal panel methods that separate within-person change from between-person differences (for example random-intercept cross-lagged panel models) are underused, limiting causal claims. Many studies also do not report robust measurement invariance across languages or subgroups, do not pre-register MNAR (missing-not-at-random) sensitivity checks for attrition, and neglect clustered sampling effects by institution. These gaps leave uncertainty about directionality, bias from common-method variance, weak instruments, response-style differences across cultures, and the robustness of mediation findings.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e-trust causes higher online repurchase intentions among university students in Bangladesh and whether this effect operates through e-customer satisfaction. We combine a multi-wave panel survey with embedded low-risk A/B trust manipulations and instrumental-variable estimation for robustness. We estimate structural equation models (SEM) to capture latent constructs (e-trust, e-satisfaction, repurchase intention) and test mediation by bootstrapped indirect effects; we use two-stage least squares (2SLS) with plausible instruments (for example staggered internet outages or distance to delivery hubs) to probe exogeneity. We pre-register psychometric rules, longitudinal measurement invariance checks across subgroups, Monte Carlo power analyses, and MNAR sensitivity scenarios for attrition. Main contributions: (1) stronger causal leverage via temporal separation and randomized cues; (2) combined SEM and IV evidence for mediation; (3) transparent measurement and attrition-sensitivity protocols tailored to a developing-country student sample. Expected outcome: clear, reproducible evidence on the causal pathway from e-trust to repurchase intention, with implications for platform design and university outreach strategies.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Existing cross-sectional survey (N=415) for initial model replication. 2) Planned 3-wave panel: pilot N=200–300, main target N=600 (final target range 600–800) stratified by university type (public/private) and urban/rural location; waves at T1 (baseline: e-trust + controls), T2 (6 weeks: e-satisfaction + manipulation checks), T3 (12 weeks: repurchase intention + behavioral follow-up). Instruments/indicators: 3–4 observed items per latent construct (e-trust, e-satisfaction, repurchase intention), 4–6 moderator/control items (digital literacy, perceived risk, prior online experience). Baselines: A) SEM without mediation (direct paths only), B) SEM with single mediator (e-satisfaction) and alternative mediator (e-trust), C) OLS regressions, D) 2SLS (IV) using candidate instruments (e.g., exogenous campus internet outages indicator or distance-to-delivery-hub numeric), E) RI-CLPM (random-intercept cross-lagged panel model) to separate within- and between-person effects, F) multilevel SEM clustering by university. Experimental arms: randomized A/B cues (trust badge vs none; explicit return policy vs generic) embedded at T1/T2. Pretests: A/B pretest per-arm sample sizes: for target standardized effect d=0.30, per-arm n≈175 for 80% power and n≈233 for 90% power; use sequential testing only if pre-registered alpha spending rules are specified. Evaluation metrics: model fit (CFI, TLI, RMSEA, SRMR; where CFI/TLI are comparative fit indices, RMSEA and SRMR are fit/residual measures), standardized path coefficients and 95% bootstrap CIs (≥5,000 draws), indirect (mediated) effect significance (bootstrap CI excludes zero), first-stage F-statistic for IV strength (F&gt;10 threshold), R-squared for outcome prediction, AIC/BIC for model comparison, and E-values or Oster bounds for sensitivity to unmeasured confounding. Missing data and attrition: primary estimation via FIML (full information maximum likelihood) or multiple imputation; pre-specified MNAR checks: pattern-mixture models (delta adjustments), selection models, and tipping-point analyses; report inverse-probability weighting diagnostics. Ablations / comparisons: 1) remove e-trust mediator (direct-only model) vs full mediation model; 2) remove e-satisfaction mediator; 3) exclude prior online experience moderator vs include interaction term; 4) estimator comparison: MLR (robust ML; for continuous-like items) vs WLSMV (for ordinal items with &lt;5 categories) — choose per pre-specified decision tree; 5) compare SEM mediation estimates to 2SLS mediation (instrument-based) and to RI-CLPM cross-lagged paths. Reporting details: present fit indices, standardized coefficients, bootstrap CIs, first-stage IV diagnostics, invariance test outcomes (ΔCFI&lt;0.01 rule), and MNAR sensitivity outputs for transparency and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Attrition and MNAR: panel dropout may bias estimates if missingness depends on unobserved variables; planned sensitivity checks may not fully recover true bias. Measurement invariance: items may not function equivalently across language, gender, or university strata, limiting valid group comparisons. Weak instruments: candidate IVs (internet outages, distance) may be weak or correlated with omitted variables, producing biased 2SLS estimates. Common-method bias and response styles: self-report scales risk acquiescence or extreme responding across cultures, affecting latent means and paths. Limited external generalizability: results from students in Bangladesh may not extend to other populations (older consumers, other countries). Clustered sampling: intra-class correlation (ICC) within universities/classes can reduce effective sample size and power if not correctly modeled. Statistical power: mediation and latent-interaction effects are small-to-moderate and require larger N; planned N may be insufficient for some interaction tests. Estimator mismatch: wrong choice of estimator for item types (ordinal vs continuous) can bias fit and SEs. Data privacy and logistics: linking behavioral proxies (voucher redemptions) requires secure hashing and consent; logistical constraints (low connectivity) may reduce data quality. Computational limits: complex models (RI-CLPM, multilevel SEM, alignment optimization) may require specialized software and long run times.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