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social_support_resilience_qol_asd_cn</w:t>
      </w:r>
    </w:p>
    <w:p>
      <w:r>
        <w:t xml:space="preserve"> </w:t>
      </w:r>
    </w:p>
    <w:p>
      <w:pPr>
        <w:pStyle w:val="Heading2"/>
      </w:pPr>
      <w:r>
        <w:t>Title</w:t>
      </w:r>
    </w:p>
    <w:p>
      <w:r>
        <w:t>Longitudinal latent mediation analysis of resilience in the effect of perceived social support on quality of life among Chinese parents of children with autism spectrum disorder</w:t>
      </w:r>
    </w:p>
    <w:p>
      <w:r>
        <w:t xml:space="preserve"> </w:t>
      </w:r>
    </w:p>
    <w:p>
      <w:pPr>
        <w:pStyle w:val="Heading2"/>
      </w:pPr>
      <w:r>
        <w:t>Short Hypothesis</w:t>
      </w:r>
    </w:p>
    <w:p>
      <w:r>
        <w:t>Resilience measured at 6 months mediates the causal effect of baseline perceived social support on quality of life at 12 months in Chinese parents of children with autism spectrum disorder.</w:t>
      </w:r>
    </w:p>
    <w:p>
      <w:r>
        <w:t xml:space="preserve"> </w:t>
      </w:r>
    </w:p>
    <w:p>
      <w:pPr>
        <w:pStyle w:val="Heading2"/>
      </w:pPr>
      <w:r>
        <w:t>Related Work</w:t>
      </w:r>
    </w:p>
    <w:p>
      <w:r>
        <w:t>Existing studies link greater social support to better caregiver quality of life and report associations between resilience and wellbeing. Most prior work is cross-sectional, uses summed questionnaire scores that ignore measurement error, and lacks clear temporal ordering needed for causal mediation. Common limitations include small or convenience samples, limited cultural adaptation and testing for differential item functioning (DIF), few negative‑control or sensitivity analyses for unmeasured confounding, and scarce use of longitudinal latent‑variable mediation or marginal structural models (MSM) that handle time‑varying confounders. In short, prior approaches establish associations but leave open whether resilience is a mediating mechanism, how robust results are to measurement bias and missing data, and how findings generalize across Chinese subgroups.</w:t>
      </w:r>
    </w:p>
    <w:p>
      <w:r>
        <w:t xml:space="preserve"> </w:t>
      </w:r>
    </w:p>
    <w:p>
      <w:pPr>
        <w:pStyle w:val="Heading2"/>
      </w:pPr>
      <w:r>
        <w:t>Abstract</w:t>
      </w:r>
    </w:p>
    <w:p>
      <w:r>
        <w:t>We address whether resilience mediates the effect of perceived social support on quality of life among Chinese parents of children with autism spectrum disorder (ASD). Using a longitudinal design with assessments at baseline (perceived social support), 6 months (resilience), and 12 months (quality of life), we estimate a latent‑variable mediation model that corrects for measurement error in standardized scales (MSPSS or SSRS, CD‑RISC, WHOQOL‑BREF). The main contribution is a preregistered, reproducible analytic pipeline combining confirmatory factor analysis, multilevel structural equation modeling (SEM) for the indirect effect, and sensitivity analyses including inverse probability weighted MSM, MNAR pattern‑mixture tipping points, negative controls, DIF checks, and Monte Carlo power simulations. Expected outcomes are an unbiased estimate of the standardized indirect effect, quantified robustness to unmeasured confounding and missingness, and measurement‑valid scores suitable for informing culturally adapted interventions (peer support or resilience app). Findings will clarify mechanism and guide scalable supports for Chinese ASD caregivers.</w:t>
      </w:r>
    </w:p>
    <w:p>
      <w:r>
        <w:t xml:space="preserve"> </w:t>
      </w:r>
    </w:p>
    <w:p>
      <w:pPr>
        <w:pStyle w:val="Heading2"/>
      </w:pPr>
      <w:r>
        <w:t>Experiments</w:t>
      </w:r>
    </w:p>
    <w:p>
      <w:r>
        <w:t>Datasets: primary longitudinal cohort of Chinese parents of children with ASD (N = 257; baseline T0, 6‑month T1, 12‑month T2) collected across multiple sites; simulated datasets for Monte Carlo power (&gt;=1000 sims). Variables: exposure = perceived social support at T0 (MSPSS/SSRS latent factor), mediator = resilience at T1 (CD‑RISC latent factor), outcome = WHOQOL‑BREF at T2 (latent factors/domains), covariates = child ASD severity, comorbidities, child age, prior service use, caregiver PHQ‑9, GAD‑7, parenting stress, SES (education, income, hukou), urban/rural, caregiving load. Baselines (comparison models): A) cross‑sectional regression using summed scores; B) lagged observed mediation (regress T2 on T1 and T0 summed scores); C) primary latent SEM mediation with measurement models; D) MSM with inverse probability weights to handle time‑varying confounding. Evaluation metrics: standardized indirect effect estimate, bias‑corrected bootstrap 95% CI (5,000 resamples), proportion mediated, model fit (CFI&gt;=0.95, RMSEA&lt;=0.06 thresholds), reliability (Cronbach's alpha, McDonald's omega), DIF metrics (ΔCFI&gt;0.01), MNAR tipping points (delta shifts 0.2,0.3,0.5 SD), E‑values for unmeasured confounding, first‑stage F statistic for instruments if used. Experimental setup: estimate CFA for each instrument and derive latent scores; run multilevel SEM (random intercepts by site) as primary analysis using lavaan or Mplus; perform bootstrap CIs for indirect effect; run MSM as robustness; conduct ablation studies: 1) latent SEM vs summed scores (tests measurement error impact); 2) SEM with vs without baseline resilience trait random intercept (tests trait vs state mediation); 3) sensitivity series varying residual mediator‑outcome correlation rho from 0 to 0.30. Missingness handling: primary FIML in SEM, compare with multiple imputation (mice) and pattern‑mixture MNAR deltas. Software: R (lavaan, simsem, mice, mediation, survey), or Mplus for multilevel latent SEM. Reproducibility: share analysis scripts and simulated data in preregistration.</w:t>
      </w:r>
    </w:p>
    <w:p>
      <w:r>
        <w:t xml:space="preserve"> </w:t>
      </w:r>
    </w:p>
    <w:p>
      <w:pPr>
        <w:pStyle w:val="Heading2"/>
      </w:pPr>
      <w:r>
        <w:t>Risk Factors And Limitations</w:t>
      </w:r>
    </w:p>
    <w:p>
      <w:r>
        <w:t>Unmeasured mediator→outcome confounding: causal mediation requires no unmeasured confounders between resilience and QoL, an untestable assumption that can bias indirect estimates. Small sample size for small indirect effects: N=257 may lack power to detect small mediated effects and subgroup analyses. Attrition and MNAR missingness: dropout between waves can bias longitudinal estimates if missingness depends on unobserved factors. Measurement non‑invariance and DIF: items may perform differently across dialects, SES, or gender, invalidating comparisons. Cluster effects and limited sites: few clusters or high ICCs reduce effective sample size and complicate multilevel SEM. Instrument/negative‑control validity: candidate instruments (e.g., distance to support center) may violate exclusion restriction or be weak (low first‑stage F). Generalizability: findings may not extend beyond sampled regions, urban/rural contexts, or Chinese cultural subgroups. Computational limits: multilevel latent SEM and Monte Carlo sims require substantial compute and can have convergence issues. EVALUATION NOTE: technical terms explained simply where used: mediation = testing whether one variable explains how another causes an outcome; latent variable = an unobserved trait inferred from questionnaire items; DIF = item bias across groups; FIML = method that uses available data under a 'missing at random' assumption; MSM/IPW = a weighting method to adjust for time‑varying confounders; MNAR = missing not at random, meaning missingness depends on unobserved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