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authentic_simulated_pjbl_translation</w:t>
      </w:r>
    </w:p>
    <w:p>
      <w:r>
        <w:t xml:space="preserve"> </w:t>
      </w:r>
    </w:p>
    <w:p>
      <w:pPr>
        <w:pStyle w:val="Heading2"/>
      </w:pPr>
      <w:r>
        <w:t>Title</w:t>
      </w:r>
    </w:p>
    <w:p>
      <w:r>
        <w:t>A mixed-method comparison of authentic versus simulated project-based learning on translation students' employability skills and translator competence</w:t>
      </w:r>
    </w:p>
    <w:p>
      <w:r>
        <w:t xml:space="preserve"> </w:t>
      </w:r>
    </w:p>
    <w:p>
      <w:pPr>
        <w:pStyle w:val="Heading2"/>
      </w:pPr>
      <w:r>
        <w:t>Short Hypothesis</w:t>
      </w:r>
    </w:p>
    <w:p>
      <w:r>
        <w:t>Participation in authentic project-based learning causes greater pre-to-post improvement in translation students' composite translator competence score than participation in simulated project-based learning.</w:t>
      </w:r>
    </w:p>
    <w:p>
      <w:r>
        <w:t xml:space="preserve"> </w:t>
      </w:r>
    </w:p>
    <w:p>
      <w:pPr>
        <w:pStyle w:val="Heading2"/>
      </w:pPr>
      <w:r>
        <w:t>Related Work</w:t>
      </w:r>
    </w:p>
    <w:p>
      <w:r>
        <w:t>Prior work on translation pedagogy and project-based learning (PBL) separates authentic industry-linked projects from classroom simulations and measures outcomes with self-report surveys, product rubrics, or qualitative case studies. Other research emphasizes industry collaboration and integration of CAT (computer-assisted translation) tools for ecological validity. Current approaches often use single methods (only qualitative or only quantitative), small samples, or coarse rubrics, and they rarely combine CAT log metrics, employer ratings, and robust psychometrics. Limitations include weak reliability estimates for rubrics, limited measurement of process data (tool logs and query behavior), lack of cross-language or cross-genre measurement invariance, and scarce pre-registered analytic plans. There is also limited work defining clear go/no-go rules for scaling pilots to efficacy trials and few studies that validate employer instruments or integrate longitudinal employer outcomes.</w:t>
      </w:r>
    </w:p>
    <w:p>
      <w:r>
        <w:t xml:space="preserve"> </w:t>
      </w:r>
    </w:p>
    <w:p>
      <w:pPr>
        <w:pStyle w:val="Heading2"/>
      </w:pPr>
      <w:r>
        <w:t>Abstract</w:t>
      </w:r>
    </w:p>
    <w:p>
      <w:r>
        <w:t>This study tests whether authentic project-based learning (projects co-designed with industry clients) yields larger gains in translator competence and employability skills than simulated classroom projects. We use a mixed-method design combining (1) a randomized cluster pilot and a subsequent scaled trial, (2) analytic rubrics scored by trained raters, (3) CAT tool logs that record process data (such as time per segment and translation memory matches), (4) employer ratings of work, and (5) self-efficacy surveys and qualitative interviews. Main contributions are: a preregistered multilevel analysis plan, a validated composite rubric with reliability targets, and demonstration of the value of process logs for detecting fidelity and rater drift. Expected outcomes are clear effect-size estimates for authentic vs simulated PBL on a normalized competence composite and a validated pilot-to-trial decision rule set for scaling. This work informs curriculum design and provides reproducible measurement artifacts to link university training with industry expectations.</w:t>
      </w:r>
    </w:p>
    <w:p>
      <w:r>
        <w:t xml:space="preserve"> </w:t>
      </w:r>
    </w:p>
    <w:p>
      <w:pPr>
        <w:pStyle w:val="Heading2"/>
      </w:pPr>
      <w:r>
        <w:t>Experiments</w:t>
      </w:r>
    </w:p>
    <w:p>
      <w:r>
        <w:t>Datasets: (A) Pilot: n=60 students in 6 clusters (6 classes) across 3 domains (legal, medical, technical), mixed language pairs; (B) Full trial options: Individual RCT: ~100 participants per arm; Cluster RCT: clusters of m=8, ICCcluster=0.05 → ~135 participants/arm (~17 clusters/arm), plan for 15% attrition. Baselines: (1) simulated PBL (classroom-only briefs), (2) authentic PBL (industry briefs with client interactions), (3) optional course-as-usual control if feasible. Metrics: Primary = composite translator competence score normalized 0–100 computed as weighted sum: Accuracy 30%, Coherence/Register 25%, Terminology/TM use 20%, Workflow/CAT &amp; QA 15%, Preservation of authorial voice 10% (rubric items scored 0–4). Secondary = CAT metrics (segment time, TM hit rate, concordance queries), employer ratings (10–15 item scale), self-efficacy Likert scores, qualitative coding frequencies, reliability stats (ICC for raters; G-study variance components), CFA (confirmatory factor analysis) for rubric structure, and measurement-invariance tests across language pairs/genres (configural, metric, scalar). Experimental setup: Randomize at cluster level for pilot and full cluster RCTs; collect pre (baseline) and immediate post measures and optional 6–12 month follow-up. Rater protocol: 4-hour calibration, blind double-rating 20% sample, third-coder adjudication for &gt;1-point discordance; target ICC ≥ 0.75. Analysis: primary inferential model is multilevel linear mixed model (LMM) with formula composite_score ~ time * condition + baseline_score + prior_experience + language_pair + (1 | cluster) + (1 + time | student). Pre-registration specifics: two-sided alpha = 0.05, primary contrast = time×condition interaction, control false-discovery rate (FDR) for secondary outcomes. Missing data: multilevel multiple imputation (MI) with m=50 imputations. Reproducibility: publish code (R/Python), synthetic anonymized dataset, and preregistered analysis scripts. Comparison/ablation studies: (A) fidelity ablation: high-authenticity vs low-authenticity authentic PBL (varying client realism); (B) feedback ablation: with employer feedback vs without employer feedback; (C) measurement ablation: include vs exclude CAT-log predictors in models to test added explanatory power of process data.</w:t>
      </w:r>
    </w:p>
    <w:p>
      <w:r>
        <w:t xml:space="preserve"> </w:t>
      </w:r>
    </w:p>
    <w:p>
      <w:pPr>
        <w:pStyle w:val="Heading2"/>
      </w:pPr>
      <w:r>
        <w:t>Risk Factors And Limitations</w:t>
      </w:r>
    </w:p>
    <w:p>
      <w:r>
        <w:t>Technical failures: CAT integration or logging failures that produce incomplete process data; tool incompatibilities with exports (XLIFF/TMX/JSON). Measurement issues: rater drift or low ICC for rubric items; insufficient sample sizes for CFA/IRT or G-study precision. Data biases: self-report bias in employability surveys and employer-rating bias due to partnership incentives. Attrition and representativeness: high student dropout or non-consent can reduce power and skew samples by experience or language pair. Generalization limits: results may not transfer to untested language pairs, rare domains, or professional contexts outside partner firms. Privacy and legal constraints: client confidentiality or NDA restrictions that limit use of authentic texts or public data sharing. Statistical limits: sensitivity to assumed parameters (SD, ICC, effect size) may require larger samples than planned. Resource constraints: compute/storage limits for logging and long-term retention, and limits on recruiting sufficient independent employer raters for robust variance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