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tolerant_futures_museum_experiment</w:t>
      </w:r>
    </w:p>
    <w:p>
      <w:r>
        <w:t xml:space="preserve"> </w:t>
      </w:r>
    </w:p>
    <w:p>
      <w:pPr>
        <w:pStyle w:val="Heading2"/>
      </w:pPr>
      <w:r>
        <w:t>Title</w:t>
      </w:r>
    </w:p>
    <w:p>
      <w:r>
        <w:t>Mixed-effects experimental evaluation of museum analogies to promote visitor tolerance in three UK archaeological galleries</w:t>
      </w:r>
    </w:p>
    <w:p>
      <w:r>
        <w:t xml:space="preserve"> </w:t>
      </w:r>
    </w:p>
    <w:p>
      <w:pPr>
        <w:pStyle w:val="Heading2"/>
      </w:pPr>
      <w:r>
        <w:t>Short Hypothesis</w:t>
      </w:r>
    </w:p>
    <w:p>
      <w:r>
        <w:t>Exposure to the 'Tolerant Futures' exhibit that explicitly challenges nationalist historical analogies causes higher post-exposure explicit tolerance scores among museum visitors compared with exposure to a neutral exhibit.</w:t>
      </w:r>
    </w:p>
    <w:p>
      <w:r>
        <w:t xml:space="preserve"> </w:t>
      </w:r>
    </w:p>
    <w:p>
      <w:pPr>
        <w:pStyle w:val="Heading2"/>
      </w:pPr>
      <w:r>
        <w:t>Related Work</w:t>
      </w:r>
    </w:p>
    <w:p>
      <w:r>
        <w:t>Prior work tests museum-based interventions and uses historical analogies to influence public attitudes, combining visitor studies, curatorial practice, and social-psychological theory. Existing approaches are often qualitative, small-scale, or single-site case studies; some quantitative projects use pre/post surveys but rely on few clusters or nonrandomized comparisons. Limitations include low statistical power from small numbers of clusters, lack of within-site replication, inadequate preregistered mediation analyses, scarce reporting of simulation inputs (raw scales, variance components), noisy implicit measures in public settings, and limited reproducibility of analysis code. Comparative experimental designs (e.g., stepped-wedge or rotation) and explicit multilevel mediation methods are underused. There is also inconsistent treatment of ethical consent for passive tracking and weak stratified sampling to assess subgroup effects. These gaps hinder causal claims about mechanism (perspective-taking) and reduce confidence in generalization across sites.</w:t>
      </w:r>
    </w:p>
    <w:p>
      <w:r>
        <w:t xml:space="preserve"> </w:t>
      </w:r>
    </w:p>
    <w:p>
      <w:pPr>
        <w:pStyle w:val="Heading2"/>
      </w:pPr>
      <w:r>
        <w:t>Abstract</w:t>
      </w:r>
    </w:p>
    <w:p>
      <w:r>
        <w:t>This study quantitatively tests whether museum displays that explicitly challenge nationalist historical analogies can increase visitor tolerance. We deploy the interactive 'Tolerant Futures' treatment, a neutral control, and a nationalist-analogy condition across three UK archaeological galleries using a zone-level rotation or stepped-wedge schedule to create within-site replications. Primary outcome is post-exposure explicit tolerance measured with an adapted Pettigrew/Tropp scale; primary mediator is perspective-taking measured immediately after exposure. We analyze data with multilevel mixed-effects models (random intercepts for site and zone) and pre-registered causal mediation estimands (average causal mediation effect). Power and robustness are assessed via simulation-based analyses using frequentist and Bayesian frameworks. Deliverables include preregistered code, seeds, fidelity checklists, and contingency decision rules. Expected contribution: rigorous, reproducible estimates of direct and mediated effects of analogical framing in museum contexts, plus practical design templates (rotation/stepped-wedge, sample targets, measurement specs) for evaluation of socially engaged exhibits.</w:t>
      </w:r>
    </w:p>
    <w:p>
      <w:r>
        <w:t xml:space="preserve"> </w:t>
      </w:r>
    </w:p>
    <w:p>
      <w:pPr>
        <w:pStyle w:val="Heading2"/>
      </w:pPr>
      <w:r>
        <w:t>Experiments</w:t>
      </w:r>
    </w:p>
    <w:p>
      <w:r>
        <w:t>Datasets: (1) Survey dataset: visitor-level pre-exposure baseline (demographics, prior contact, SDO), immediate post-exposure mediator (perspective-taking short IRI subscale) and primary outcome (adapted Pettigrew/Tropp tolerance scale); (2) Implicit-Runtime dataset: kiosk reaction-time task (single-category IAT or AMP) with trial-level RTs; (3) Passive-trace dataset: anonymized zone dwell times and flow counts; (4) Qualitative-coded dataset for explanatory cases (codebook anchors mapped to mediator/outcome).</w:t>
        <w:br/>
        <w:t>Arms/Baselines: three arms—(A) Tolerant Futures exhibit that challenges nationalist analogies (treatment), (B) neutral exhibit text and label baseline (control), (C) nationalist-analogy framed exhibit (analogy-affirming, to detect backfire). Primary baseline: arm B.</w:t>
        <w:br/>
        <w:t>Sampling and targets: preferred design = within-gallery rotation across 3–4 zones per site, weekly rotation. Target analyzable N for rotation: 1,200 total (≈400 per site; ≈100 per zone if 4 zones/site) to detect Cohen's d=0.25 at 80% power with ICC_site ≤0.05. Pilot per-site N=100–150 to estimate ICCs. Invitation conversion formula: invitations = analyzable_N / (exposure_rate × consent_link_rate × completion_rate).</w:t>
        <w:br/>
        <w:t>Evaluation metrics: primary = mean post-exposure tolerance score (scale mean). Primary mediator = perspective-taking scale mean. Secondary = implicit RT effect (D or standardized AMP score), Bogardus social-distance items, dwell time (seconds), willingness-to-engage binary, and qualitative code frequencies. Reliability metrics: Cronbach/omega for scales; split-half for RT.</w:t>
        <w:br/>
        <w:t>Analysis setup: primary analysis = linear mixed-effects model (LMM): outcome_ijwk = β0 + β1·treatment_jwk + β2·week_w + covariates + u_site_j + u_zone(site)_jk + ε_ijwk, where u_site ∼ N(0,σ2_site), u_zone ∼ N(0,σ2_zone). Estimate cluster-robust SEs; apply Kenward–Roger or Satterthwaite small-sample corrections where applicable. Mediation: pre-register average causal mediation effect (ACME) using multilevel mediator and outcome models, estimated via product-of-coefficients with cluster-aware bootstrap and Bayesian brms posterior of indirect effect; perform sensitivity analyses (medsens or varying residual correlation). Missing data: mixed-model MAR assumptions; perform multiple-imputation robustness checks.</w:t>
        <w:br/>
        <w:t>Comparisons and ablations: (1) Primary contrast: A vs B (treatment vs control). (2) Secondary contrasts: C vs B and A vs C to detect backfire. (3) Design ablation: rotation design vs simulated stepped-wedge analyses via same code to compare power and estimates. (4) Measurement ablation: rerun primary analysis excluding implicit RT data to test influence of kiosk tasks. (5) Subgroup analyses: stratified estimates by ethnicity, age, and education with pre-specified minimum cell counts.</w:t>
        <w:br/>
        <w:t>Power and reproducibility: run simr/lme4 simulations across ICC grid {0.01,0.03,0.05,0.08,0.10} and exposure rates {20,40,60,80}%, include raw-scale inputs: assumed residual variance =1, site variance and zone variance per ICCs, fixed-effect raw path for treatment on outcome = 0.25 SD =&gt; 0.25; mediator path examples for mediation power supplied in preregistration. All code, seeds, and brms priors are stored in versioned repository.</w:t>
      </w:r>
    </w:p>
    <w:p>
      <w:r>
        <w:t xml:space="preserve"> </w:t>
      </w:r>
    </w:p>
    <w:p>
      <w:pPr>
        <w:pStyle w:val="Heading2"/>
      </w:pPr>
      <w:r>
        <w:t>Risk Factors And Limitations</w:t>
      </w:r>
    </w:p>
    <w:p>
      <w:r>
        <w:t>Low exposure rates in galleries will increase required invitations and may compromise power. High noise and variability in kiosk RT measures in public settings may reduce implicit-task reliability. Measurement noninvariance across sites or demographic groups can bias scale comparisons. Cluster imbalance or very few clusters increases sensitivity to single-site effects and inflates uncertainty. Ethical complaints or adverse events may force content pauses and reduce data. Missingness not at random (MNAR) can invalidate MAR-based mixed-model estimates. Small indirect effects (mediated paths) may be underpowered even with planned N; mediation estimates depend on untestable sequential ignorability assumptions. Results may not generalize beyond the three UK galleries or to non-museum publics. Passive-trace linkage depends on opt-in consent rates and may yield biased linked samples. Computational limits: extensive simulations and Bayesian models require substantial compute time for full grids.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