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job_housing_balance_burnout</w:t>
      </w:r>
    </w:p>
    <w:p>
      <w:r>
        <w:t xml:space="preserve"> </w:t>
      </w:r>
    </w:p>
    <w:p>
      <w:pPr>
        <w:pStyle w:val="Heading2"/>
      </w:pPr>
      <w:r>
        <w:t>Title</w:t>
      </w:r>
    </w:p>
    <w:p>
      <w:r>
        <w:t>Quasi-experimental mixed-methods analysis of how spatial job-housing balance affects job burnout among migrant workers</w:t>
      </w:r>
    </w:p>
    <w:p>
      <w:r>
        <w:t xml:space="preserve"> </w:t>
      </w:r>
    </w:p>
    <w:p>
      <w:pPr>
        <w:pStyle w:val="Heading2"/>
      </w:pPr>
      <w:r>
        <w:t>Short Hypothesis</w:t>
      </w:r>
    </w:p>
    <w:p>
      <w:r>
        <w:t>Moving from a high Job-Housing Balance Index (top tercile) to a low Job-Housing Balance Index (bottom tercile) causes a reduction in emotional exhaustion (MBI-GS) at 12 months among migrant workers.</w:t>
      </w:r>
    </w:p>
    <w:p>
      <w:r>
        <w:t xml:space="preserve"> </w:t>
      </w:r>
    </w:p>
    <w:p>
      <w:pPr>
        <w:pStyle w:val="Heading2"/>
      </w:pPr>
      <w:r>
        <w:t>Related Work</w:t>
      </w:r>
    </w:p>
    <w:p>
      <w:r>
        <w:t>Existing studies report that better job-housing balance is associated with lower burnout, that precarious employment correlates with worse mental health for migrants, and that housing support policies can improve wellbeing. Most prior work relies on cross-sectional designs, uses simple distance or self-reported commute measures, or focuses on single sectors. Limitations include weak causal identification (few natural experiments or valid instruments), limited spatial data integration (no high-resolution GPS or transit routing), inadequate mediation testing (mechanisms like commute time, labor intensity, or work quality not robustly tested), small or non-representative samples for longitudinal inference, and scarce pre-specification of weighting rules for composite exposure indices. Prior studies also rarely address spillovers between neighbors or employers, privacy constraints for mobility data, or transparent decision rules for replacing fixed index weights with data-driven alternatives.</w:t>
      </w:r>
    </w:p>
    <w:p>
      <w:r>
        <w:t xml:space="preserve"> </w:t>
      </w:r>
    </w:p>
    <w:p>
      <w:pPr>
        <w:pStyle w:val="Heading2"/>
      </w:pPr>
      <w:r>
        <w:t>Abstract</w:t>
      </w:r>
    </w:p>
    <w:p>
      <w:r>
        <w:t>We study whether changing the spatial balance between jobs and affordable housing reduces job burnout among migrant workers. Using a mixed-methods, quasi-experimental design, we combine a national panel survey, administrative employer and housing records, transit GIS, and opt-in mobile GPS to construct a Job-Housing Balance Index (JHBI). The primary causal test estimates the average treatment effect (ATE) of moving from the top to the bottom JHBI tercile on 12-month emotional exhaustion (MBI-GS), using staggered difference-in-differences (Callaway &amp; Sant'Anna) and instrumental variables where feasible. We integrate qualitative interviews to identify mediators (commute time, time-use/recovery, work quality) and validate measurement. Main contributions are (1) transparent JHBI operationalization with pre-specified fixed weights plus data-driven alternatives, (2) causal identification using phased policy rollouts and employer pilots, and (3) mediation and spillover analyses that link spatial placement of housing to burnout mechanisms. Expected outcomes are robust causal estimates and policy-ready spatial guidance for housing support siting.</w:t>
      </w:r>
    </w:p>
    <w:p>
      <w:r>
        <w:t xml:space="preserve"> </w:t>
      </w:r>
    </w:p>
    <w:p>
      <w:pPr>
        <w:pStyle w:val="Heading2"/>
      </w:pPr>
      <w:r>
        <w:t>Experiments</w:t>
      </w:r>
    </w:p>
    <w:p>
      <w:r>
        <w:t>Datasets: (A) Pilot panel: N=80-120 migrant workers with baseline and 6-12 month follow-up, opt-in GPS, time-use diaries, and qualitative interviews. (B) Main panel: target N=400 complete cases (primary) and N=600-800 for mediation power. (C) Administrative: employer payroll/turnover dates, housing permits, transit rollout dates and GIS. Baselines: 1) OLS with individual and time fixed effects (FE). 2) Staggered DiD/event-study using Callaway &amp; Sant'Anna estimator. 3) IV 2SLS where instruments exist (distance to new transit stop, employer eligibility). 4) Marginal structural models (MSM) for longitudinal mediation. Evaluation metrics: primary effect = change in emotional exhaustion (MBI-GS) in SD and raw score units; 95% CI, p-values, and adjusted R^2 for fit; IV first-stage F-statistic (weak instrument threshold F&gt;10); indirect effect size and proportion mediated with bootstrap CIs; e-value for unmeasured confounding; RMSE for predictive models of commute time. Experimental setup: pre-register primary estimand: ATE of top-to-bottom JHBI tercile on 12-month exhaustion adjusting for baseline exhaustion, age, gender, sector, length of stay. Missing data: multiple imputation (MICE) + IPW for attrition. Clustering: cluster-robust SEs at employer or neighborhood level; use wild cluster bootstrap if clusters &lt;50. Comparisons/ablations: A) Fixed-weight JHBI (40/25/20/15) vs data-driven JHBI (EFA/CFA factor scores) — compare primary ATEs. B) DiD vs IV vs MSM estimates — compare magnitudes and inference. C) Spillover off vs on: standard SUTVA models vs partial-interference estimators (Hudgens–Halloran or Tchetgen Tchetgen) to assess indirect effects. D) Measurement-error ablation: raw GPS vs 500m-jittered GPS with SIMEX correction. Power: run Monte Carlo mediation simulations with registered seeds and published assumptions (ICC, attrition) prior to main data collection.</w:t>
      </w:r>
    </w:p>
    <w:p>
      <w:r>
        <w:t xml:space="preserve"> </w:t>
      </w:r>
    </w:p>
    <w:p>
      <w:pPr>
        <w:pStyle w:val="Heading2"/>
      </w:pPr>
      <w:r>
        <w:t>Risk Factors And Limitations</w:t>
      </w:r>
    </w:p>
    <w:p>
      <w:r>
        <w:t>Measurement error: GPS jittering and imputed routes can bias commute estimates; SIMEX/regression calibration may be imperfect. Selection bias: GPS opt-in and relocation choices may produce nonrandom samples. Attrition: loss to follow-up may reduce power and bias longitudinal estimates. Unmeasured confounding: instruments may violate exclusion restrictions or be weak (low F-stat). Spillovers/interference: neighbor or employer spillovers can violate SUTVA and change the estimand; partial-interference estimators require larger samples. Small-cluster inference: few treated clusters limits reliable cluster-robust inference and may require wild bootstrap or permutation tests. Mediation power: indirect effects often small and need larger samples (N&gt;600) for detection. Generalization: results may be context-specific to the studied cities, sectors, or country. Ethical/privacy limits: GPS and employer links require strict opt-in and may reduce usable data. Computational limits: microsimulations and agent-based models for policy scenarios may be compute-intensive for large spatial domains.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