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consumption_populism_study</w:t>
      </w:r>
    </w:p>
    <w:p>
      <w:r>
        <w:t xml:space="preserve"> </w:t>
      </w:r>
    </w:p>
    <w:p>
      <w:pPr>
        <w:pStyle w:val="Heading2"/>
      </w:pPr>
      <w:r>
        <w:t>Title</w:t>
      </w:r>
    </w:p>
    <w:p>
      <w:r>
        <w:t>Quasi-experimental and mixed-methods analysis of how business leaders' populist messaging influences consumer purchases</w:t>
      </w:r>
    </w:p>
    <w:p>
      <w:r>
        <w:t xml:space="preserve"> </w:t>
      </w:r>
    </w:p>
    <w:p>
      <w:pPr>
        <w:pStyle w:val="Heading2"/>
      </w:pPr>
      <w:r>
        <w:t>Short Hypothesis</w:t>
      </w:r>
    </w:p>
    <w:p>
      <w:r>
        <w:t>Exposure to populist messaging from a business leader increases the probability that exposed consumers purchase the promoted products relative to comparable unexposed consumers.</w:t>
      </w:r>
    </w:p>
    <w:p>
      <w:r>
        <w:t xml:space="preserve"> </w:t>
      </w:r>
    </w:p>
    <w:p>
      <w:pPr>
        <w:pStyle w:val="Heading2"/>
      </w:pPr>
      <w:r>
        <w:t>Related Work</w:t>
      </w:r>
    </w:p>
    <w:p>
      <w:r>
        <w:t>Prior work divides into three strands: (1) political/populism theory that conceptualizes how leaders construct "the people" and mobilize affect, (2) marketing and consumer-behavior studies that measure how leader endorsements and brand narratives change purchase outcomes, and (3) causal inference methods in applied social science (difference-in-differences, synthetic control, regression discontinuity, instrumental variables). Limitations: theory work rarely links discursive mechanisms to real purchases; marketing studies often use correlational or short-term experiments without large-scale transactional validation; causal methods are applied separately but rarely coupled with automated discourse measurement. Additional technical gaps: many studies do not pre-specify interference or spillover handling (how exposure in one area affects others), do not propagate classifier measurement error into causal estimates, and rarely consider privacy-preserving release constraints (differential privacy) that change statistical power.</w:t>
      </w:r>
    </w:p>
    <w:p>
      <w:r>
        <w:t xml:space="preserve"> </w:t>
      </w:r>
    </w:p>
    <w:p>
      <w:pPr>
        <w:pStyle w:val="Heading2"/>
      </w:pPr>
      <w:r>
        <w:t>Abstract</w:t>
      </w:r>
    </w:p>
    <w:p>
      <w:r>
        <w:t>This project measures whether and how business leaders' populist messaging shapes consumer behavior. We combine automated discourse coding, transactional and panel purchase data, survey experiments, and ethnographic interviews to link leader communications to real purchases. Core methods are quasi-experimental causal designs (difference-in-differences with staggered-correction, synthetic control for single shocks, and regression discontinuity or instruments where credible) paired with a validated multi-label classifier of populist signals. The main contribution is an operational definition and reproducible pipeline for "consumption populism" that (1) defines treatment events and exposure windows, (2) quantifies causal effects on purchases and conversion metrics, and (3) tests mediators such as perceived authenticity and identity fusion. Expected outcomes include pre-registered estimation scripts, classifier performance benchmarks, DP-aware power analysis (privacy/noise trade-offs), and a harmonized harm-assessment rubric for dissemination.</w:t>
      </w:r>
    </w:p>
    <w:p>
      <w:r>
        <w:t xml:space="preserve"> </w:t>
      </w:r>
    </w:p>
    <w:p>
      <w:pPr>
        <w:pStyle w:val="Heading2"/>
      </w:pPr>
      <w:r>
        <w:t>Experiments</w:t>
      </w:r>
    </w:p>
    <w:p>
      <w:r>
        <w:t>Datasets: (A) Commercial retail scanner sales (Nielsen/IRI/Kantar) at UPC-by-day level; (B) card-transaction panel (Cardlytics-like) aggregated to consumer-week; (C) web/clickstream (Comscore/SimilarWeb) and Google Trends for public proxies; (D) corpora of CEO speeches, press releases, social posts, and ads; (E) survey experiment with 2x3 factorial design (2 exposure: populist vs non-populist messaging; 3 intensity levels: low/medium/high), target n≈150 per cell (900 total), oversample to 1,200 for mediation and heterogeneity. Baselines: (1) no-exposure periods; (2) exposure to non-populist marketing messages (same product content but without populist cues); (3) matched-control firms using propensity score or synthetic-match. Preprocessing: timestamp alignment of discourse events to sales windows; generate Populist Signaling Intensity (PSI) index by aggregating classifier labels over pre-specified windows (daily/weekly). Classifier evaluation: report per-label precision, recall, F1, confusion matrices, and per-language F1. Causal estimation: primary estimator is DiD with firm and time fixed effects and Sun–Abraham staggered correction (Sun–Abraham adjusts for varying treatment timing); complementary: synthetic control for single high-salience events (report RMSPE and permutation p-values), RD where clear cutoff exists, and IV when exogenous timing instrument (first-stage F&gt;10) is available. Tests and robustness: formal parallel-trends tests (lead coefficients), event-study plots, placebo treatment windows, placebo outcomes (unrelated products), inclusion/exclusion of media-coverage and price controls, lag specifications (0/7/14/30 days), and wild cluster bootstrap when few clusters. Mediation: Imai causal mediation estimator (ACME/NIE) with sensitivity scans; when possible run experimental variation on mediator (instrument for mediator). Ablations: (A) change aggregation windows (daily vs weekly) to test timing sensitivity, (B) vary classifier threshold (probability cutoffs) to test measurement sensitivity, (C) remove media-coverage covariate to measure confounding, (D) analyze with and without DP noise added to aggregates to measure power loss. Evaluation metrics: sales percent change, conversion rate change, churn/retention, Google Trends index shift, survey outcome means, mediated effect sizes, classifier F1, RMSPE for synthetic control, first-stage F for IV. Reporting: propagate classifier measurement error into causal estimates via simulation-based errors-in-variables adjustment and report adjusted CIs and MDEs. Reproducibility: containerized code, synthetic data, and pre-registered analysis script.</w:t>
      </w:r>
    </w:p>
    <w:p>
      <w:r>
        <w:t xml:space="preserve"> </w:t>
      </w:r>
    </w:p>
    <w:p>
      <w:pPr>
        <w:pStyle w:val="Heading2"/>
      </w:pPr>
      <w:r>
        <w:t>Risk Factors And Limitations</w:t>
      </w:r>
    </w:p>
    <w:p>
      <w:r>
        <w:t>Classifier measurement error: imperfect labels cause bias; confusion matrices must be reported and error propagated. Unobserved confounding: concurrent marketing, pricing, supply shocks, or seasonal demand can mimic treatment effects. Interference and spillovers: exposures across regions or networks violate SUTVA and complicate attribution. Small number of treated clusters: few firms or events reduce reliable cluster-robust SEs and require bootstrap or randomization inference. Differential privacy noise: adding DP noise (ε choice) reduces power and precision; DP-aware power may demand larger samples. DUA and data access failures: inability to secure vendor data forces reliance on weaker public proxies. Limited generalization: findings from a single case (e.g., a national leader or sector) may not generalize to other countries, cultures, or sectors. Ethical risk: publishing operational detail could enable manipulation; embargo decisions may restrict dissemination. Compute and cost limits: high-resolution panel data and transformer models require substantial compute and vendor budgets.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