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pastel_color_emotion_av</w:t>
      </w:r>
    </w:p>
    <w:p>
      <w:r>
        <w:t xml:space="preserve"> </w:t>
      </w:r>
    </w:p>
    <w:p>
      <w:pPr>
        <w:pStyle w:val="Heading2"/>
      </w:pPr>
      <w:r>
        <w:t>Title</w:t>
      </w:r>
    </w:p>
    <w:p>
      <w:r>
        <w:t>Controlled audiovisual experiment testing the effect of pastel versus saturated production color on viewers' reported and physiological emotional responses</w:t>
      </w:r>
    </w:p>
    <w:p>
      <w:r>
        <w:t xml:space="preserve"> </w:t>
      </w:r>
    </w:p>
    <w:p>
      <w:pPr>
        <w:pStyle w:val="Heading2"/>
      </w:pPr>
      <w:r>
        <w:t>Short Hypothesis</w:t>
      </w:r>
    </w:p>
    <w:p>
      <w:r>
        <w:t>Replacing saturated color with pastel color in luminance- and hue-matched audiovisual stimuli causes a decrease in viewers' self-reported emotional valence and arousal and a corresponding reduction in physiological emotional markers (EMG, SCR, pupil dilation).</w:t>
      </w:r>
    </w:p>
    <w:p>
      <w:r>
        <w:t xml:space="preserve"> </w:t>
      </w:r>
    </w:p>
    <w:p>
      <w:pPr>
        <w:pStyle w:val="Heading2"/>
      </w:pPr>
      <w:r>
        <w:t>Related Work</w:t>
      </w:r>
    </w:p>
    <w:p>
      <w:r>
        <w:t>Prior work links color (hue, saturation, brightness) to perceived mood in images, film, and design, and reports correlations between desaturated visuals and muted affect. Existing approaches are often observational, use uncalibrated stimuli, or manipulate single still images rather than controlled audiovisual pieces. Common limitations include: lack of precise colorimetric control (no spectroradiometer-verified CIELAB or ΔE00 measures), unmatched luminance across conditions (which confounds chroma effects), small sample sizes or underpowered tests for small effects, sparse use of validated physiological measures alongside self-report, and weak preregistration or multiplicity control. Many studies do not jointly model multiple outcomes (self-report + physiology) so cross-domain evidence is inconsistent. Cross-cultural generalization and device/display variability are also underexplored. These gaps leave it unclear whether saturation changes causally alter emotional intensity when all perceptual and audiovisual confounds are controlled.</w:t>
      </w:r>
    </w:p>
    <w:p>
      <w:r>
        <w:t xml:space="preserve"> </w:t>
      </w:r>
    </w:p>
    <w:p>
      <w:pPr>
        <w:pStyle w:val="Heading2"/>
      </w:pPr>
      <w:r>
        <w:t>Abstract</w:t>
      </w:r>
    </w:p>
    <w:p>
      <w:r>
        <w:t>Problem: It is unclear whether pastel (low-chroma, high-lightness) color schemes causally reduce viewers' emotional responses in audiovisual media once hue and luminance are controlled. Approach: Produce a calibrated stimulus set of paired videos (pastel vs saturated) designed to evoke six basic emotions, validate color and audio parity with spectroradiometry and loudness metering, and present stimuli under a preregistered protocol while recording self-report and physiological measures. Contribution: A preregistered, reproducible test that isolates chroma (color saturation) as the manipulated visual variable using strict CIELAB targets, ΔE00 and luminance tolerances, and a Bayesian hierarchical multivariate model that jointly analyzes valence/arousal reports and physiological markers (EMG, SCR, ECG/HR, pupil). Expected outcome: Conclusive evidence for or against small effects of pastel color on emotional intensity with explicit equivalence bounds, improving interpretability of null results and informing production-design claims in film, TV, and advertising.</w:t>
      </w:r>
    </w:p>
    <w:p>
      <w:r>
        <w:t xml:space="preserve"> </w:t>
      </w:r>
    </w:p>
    <w:p>
      <w:pPr>
        <w:pStyle w:val="Heading2"/>
      </w:pPr>
      <w:r>
        <w:t>Experiments</w:t>
      </w:r>
    </w:p>
    <w:p>
      <w:r>
        <w:t>Stimuli: 12 calibrated 5–10 s audiovisual clips: six target emotions × two color conditions (pastel: C* ≤ 20, L* ≈ 75–85; saturated: C* &gt; 30, matched L* and hue). Per‑stimulus ΔE00 ≤ 1.0 within-session and luminance difference ≤ ±1 cd/m². Optional exploratory dynamic hue-drift variant produced separately. Participants and design: staged recruitment: initial within-subject N=120 for primary Color main effects; if powering interactions, expand to N=300–350 (between-subject groups balanced). Screening: normal color vision required. Presentation: 48 kHz/24-bit audio; integrated LUFS -23 ±0.5 (loudspeaker) or -16 ±0.5 (headphone); AV sync log with photodiode and TTL; max latency ≤16 ms. Measures: self-report valence and arousal (continuous scales), emotional intensity rating; EMG corrugator and zygomaticus (1000 Hz), SCR (≥200 Hz), ECG (≥500 Hz), pupillometry (250–500 Hz). Preprocessing: modality-specific pipelines preregistered (baseline windows, filters, artifact thresholds). Baselines: saturated condition and grayscale matched-luminance condition. Analysis: Bayesian hierarchical multivariate mixed model jointly modeling self-report and physiology with participant and stimulus random effects; priors Normal(0,0.1) for standardized Color effects with sensitivity to Normal(0,0.2) and Cauchy(0,0.2); primary equivalence test (TOST-style) with bounds d = ±0.10–0.15 and secondary ±0.20; report Bayes factors, posterior intervals, and posterior predictive checks. Ablations: (1) remove physiological domain to test reliance on self-report, (2) compare static pastel vs dynamic hue-drift, (3) Audio congruency ablation comparing neutral vs emotion-manipulated audio while holding color fixed. Missing data: MICE with m=50 for behavioral/self-report; explicit rules for modality loss and non-responders preregistered.</w:t>
      </w:r>
    </w:p>
    <w:p>
      <w:r>
        <w:t xml:space="preserve"> </w:t>
      </w:r>
    </w:p>
    <w:p>
      <w:pPr>
        <w:pStyle w:val="Heading2"/>
      </w:pPr>
      <w:r>
        <w:t>Risk Factors And Limitations</w:t>
      </w:r>
    </w:p>
    <w:p>
      <w:r>
        <w:t>Small true effects: pastel-induced differences may be smaller than detectable without very large samples, requiring extensive recruitment. Physiological non-responders and modality loss: EMG/SCR/pupil data may have high artifact rates or non-responders, reducing power. Color reproduction drift: device gamuts, ambient lighting, or multi-site differences can violate ΔE00/luminance tolerances and confound results. Demand characteristics: participants may notice color manipulations and change ratings. Ecological validity: short, controlled clips may not reflect full-length film viewing or production workflows. Analysis complexity: joint Bayesian multivariate models require careful specification and computational resources; prior choices can influence conclusions. Missing-data assumptions: multiple imputation assumes data are missing at random; violations (missing not at random) can bias results. Cross-cultural limits: cultural differences in color-emotion mapping may limit generalizability if replication cohorts are not included. Hardware constraints: high sampling rates and spectroradiometric validation need specialized equipment that may limit scalability.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