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prigov_monstrosity_taxonomy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Computational annotation and classification of Prigov's three-axis monstrosity across text and audiovisual media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Fine-tuning a transformer language model on a manually annotated Prigov corpus causes reliable automatic labeling of the three-axis taxonomy (linguistic, embodied/grotesque, institutional) with per-label span-level F1 ≥ 0.75.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includes rule-based and learning methods for quotation extraction, work on nested-span annotation schemas, topic models for thematic analysis, and embedding-based methods for semantic shift. Existing transformer-based approaches (fine-tuned language models) have improved classification on single-label tasks but often assume clean printed text, single-speaker attribution, or English-language resources. Studies of intermedia corpora and audiovisual alignment are fewer and typically lack time-aligned annotation for prosody and gesture. Russian-language NLP has advanced with contextual models but remains constrained by limited annotated corpora for samizdat manuscripts and performance transcripts. Limitations of current methods are: weak support for nested and multi-label spans, little handling of OCR/ASR noise from archival sources, insufficient cross-media alignment between images/AV and text, and sparse curated bilingual translation layers that preserve formal markers. These gaps prevent robust computational study of boundary-blurring vocal and bodily phenomena in late-Soviet materials.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addresses the problem of operationalizing and automatically detecting Prigov’s three-axis taxonomy of monstrosity—linguistic ventriloquism/quotation, embodied/grotesque prosthesis and staged abjection, and institutional bureaucratic personhood—across poetry, typescripts, and audiovisual recordings. We propose to create a bilingual, TEI-anchored pilot corpus with token- and sentence-level annotations, time-aligned AV tiers, and provenance metadata, then to train and evaluate transformer classifiers and embedding analyses on this corpus. The main contribution is a reproducible pipeline that links philological annotation practices to concrete computational baselines for nested multi-label span extraction and cross-media alignment. Expected outcomes are: (1) a validated annotation manual and gold exemplar package; (2) a supervised ruBERT model achieving high span-level F1 on the taxonomy if the hypothesis holds; and (3) empirical diagnostics showing how AV features, translation layers, and OCR/ASR quality affect detection. The result will enable reproducible study of boundary-blurring artistic strategies in archival Soviet materials.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corpus of 50–100 documents (≈200 pages) covering published and samizdat variants, 20–30 AV recordings with 20–30s snippets; annotated gold set: 10,000 labeled spans for quotation extraction (target split train 8k / val 1k / test 1k) and 8,000 labeled sentences for taxonomy classification (train 6.4k / val 800 / test 800). Include bilingual translation layers (diplomatic and performative) and provenance fields (archive, shelfmark, OCR confidence). Annotation: use 3 annotators, adjudication by senior adjudicator; measure inter-annotator agreement on a stratified sample of 1,000 sentences using Krippendorff's alpha (for multi-label) and Cohen's kappa (for single-label checks). Baselines: (1) majority/label-prior baseline; (2) regex+heuristic quotation extractor; (3) CRF span tagger with engineered features; (4) word2vec/FastText clustering for thematic signals; (5) fine-tuned ruBERT (transformer) for span classification. Preprocessing: tokenization with razdel (sentence/word), map tokens to ruBERT WordPiece with context window 256 tokens. Model hyperparameters: ruBERT fine-tune lr=2e-5, batch=16, epochs=3-5, validation early stopping. Evaluation metrics: span-level exact-match F1 and partial-match F1 (partial match = any token overlap), token-level precision/recall/F1, sentence-level micro/macro F1, per-label precision/recall, Krippendorff's alpha for annotation reliability, topic coherence (C_V) for topic models, cosine-shift and Procrustes alignment for embedding shifts. Experimental splits: stratified by medium (poem/typescript/AV), date, and publication variant. Ablation studies: (A) remove AV features (use text only) to test AV contribution; (B) remove nested-span encoding to test nested span importance; (C) train on diplomatic vs normalized translation layers to test translation effect; (D) vary OCR/ASR simulated noise levels (88–95% vs 65–85% char accuracy or 30–60% WER) to test robustness. Validation: 5-fold cross-validation and held-out test set; report mean and 95% bootstrap confidence intervals for metrics; provide confusion matrices and per-stratum results. Success criterion: ruBERT span-level F1 ≥ 0.75 on test set for core labels.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reliability: nested, overlapping spans and subjective boundary cases may yield low agreement; small pilot size may not capture full variety. OCR/ASR quality: archival samizdat and noisy recordings may produce high error rates that degrade model performance. Language and translation bias: bilingual layers and translator choices can alter label cues and reduce cross-language consistency. Model overfitting: ruBERT fine-tuning on a small domain corpus may not generalize beyond Prigov materials. AV alignment challenges: forced-alignment and gesture coding require specialist labor and may be inconsistent. Resource limits: compute (GPU hours) and human annotation time may constrain dataset scale. Legal/ethical constraints: archive permissions and rights restrictions may limit public release of materials. Generalization limits: results may not transfer to other authors, languages, or historical contexts beyond late-Soviet Prigov materials.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