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fuel_subsidy_discourse_indonesia</w:t>
      </w:r>
    </w:p>
    <w:p>
      <w:r>
        <w:t xml:space="preserve"> </w:t>
      </w:r>
    </w:p>
    <w:p>
      <w:pPr>
        <w:pStyle w:val="Heading2"/>
      </w:pPr>
      <w:r>
        <w:t>Title</w:t>
      </w:r>
    </w:p>
    <w:p>
      <w:r>
        <w:t>Mixed-methods discourse analysis using computational NLP and qualitative process-tracing to identify actors and narratives that shaped Indonesia's fuel subsidy reduction (1998–2019)</w:t>
      </w:r>
    </w:p>
    <w:p>
      <w:r>
        <w:t xml:space="preserve"> </w:t>
      </w:r>
    </w:p>
    <w:p>
      <w:pPr>
        <w:pStyle w:val="Heading2"/>
      </w:pPr>
      <w:r>
        <w:t>Short Hypothesis</w:t>
      </w:r>
    </w:p>
    <w:p>
      <w:r>
        <w:t>Increases in the prevalence of fiscal-responsibility frames in national media causally increased the probability and accelerated the timing of fuel subsidy reduction decisions in Indonesia between 1998 and 2019, conditional on oil prices and budgetary shocks.</w:t>
      </w:r>
    </w:p>
    <w:p>
      <w:r>
        <w:t xml:space="preserve"> </w:t>
      </w:r>
    </w:p>
    <w:p>
      <w:pPr>
        <w:pStyle w:val="Heading2"/>
      </w:pPr>
      <w:r>
        <w:t>Related Work</w:t>
      </w:r>
    </w:p>
    <w:p>
      <w:r>
        <w:t>Existing work on fuel subsidy reform in the global south combines political-economy case studies, econometric analyses of macro drivers, and isolated computational text studies. Qualitative studies provide rich narratives and archival detail but are limited in generalizability and temporal scope. Macro econometric papers test correlations between oil prices, fiscal stress, and reform timing but often omit discourse dynamics and subnational heterogeneity. Prior computational discourse approaches extract topics or sentiment but typically rely on small labeled sets, ignore OCR and source-selection bias, and rarely integrate process-tracing or robust causal estimators for staggered adoption (when different places or times adopt a policy at different moments). Weaknesses across these approaches are (1) limited integration of qualitative archival evidence with quantitative identification, (2) insufficient handling of staggered treatment timing and heterogeneous effects, (3) underpowered or under-specified labeling and reliability practices, and (4) unaddressed media availability and OCR error biases that can distort measured frame prevalence.</w:t>
      </w:r>
    </w:p>
    <w:p>
      <w:r>
        <w:t xml:space="preserve"> </w:t>
      </w:r>
    </w:p>
    <w:p>
      <w:pPr>
        <w:pStyle w:val="Heading2"/>
      </w:pPr>
      <w:r>
        <w:t>Abstract</w:t>
      </w:r>
    </w:p>
    <w:p>
      <w:r>
        <w:t>This study revisits the political economy of Indonesia's fuel subsidy reforms from 1998 to 2019 by combining computational natural language processing (NLP) of media and parliamentary texts with targeted qualitative process-tracing and elite interviews. We build temporal indicators of framing (problem definitions, causal attributions, moral evaluations, policy solutions) and actor coalitions from purposively sampled national and regional outlets and DPR transcripts. Quantitative signals will stratify purposive case selection for archival checks and interviews; causal inference will use event-study, difference-in-differences for staggered rollouts, and synthetic control where appropriate. The main contribution is an integrated design that links shifting discourse coalitions to policy timing and design while accounting for macro shocks (oil prices, budgets) and subnational variation. Expected outcomes include validated frame-time series, causal estimates of discourse influence on reform timing, and reproducible datasets and code to inform scholars and policymakers about how media narratives shape subsidy policy trajectories.</w:t>
      </w:r>
    </w:p>
    <w:p>
      <w:r>
        <w:t xml:space="preserve"> </w:t>
      </w:r>
    </w:p>
    <w:p>
      <w:pPr>
        <w:pStyle w:val="Heading2"/>
      </w:pPr>
      <w:r>
        <w:t>Experiments</w:t>
      </w:r>
    </w:p>
    <w:p>
      <w:r>
        <w:t>Datasets: (1) National media corpus (Kompas, Tempo, Jakarta Post, Republika, CNN Indonesia) 1998–2019; (2) 6–8 regional outlets stratified by island and fiscal dependence; (3) DPR plenary and committee transcripts 1998–2019; (4) ministerial releases (MoF, MEMR), Pertamina statements, IMF/WB memos; (5) fiscal series: APBN subsidy expenditures, district-level fiscal data, household energy spend; (6) oil price time series (monthly). Preprocessing: OCR with page_mean_confidence threshold 0.85; page-level CER targets ≤0.05 (modern) and ≤0.10 (legacy). Labeling: active learning to produce 10,000–20,000 hand labels across frame classes (min 2,000 per primary class); training/dev/test splits 70/15/15. Models and methods: fine-tune IndoBERT/BahasaBERT classifiers for frame and stance (technical term: fine-tune means adjust a pre-trained language model on labeled data); BERTopic with IndoBERT embeddings for dynamic topic detection; change-point detection (PELT) for frame shifts; actor–frame bipartite networks and community clustering. Causal estimators: Callaway &amp; Sant’Anna DiD for staggered adoption (estimates average treatment effect on the treated, ATT), Sun &amp; Abraham dynamic-event coefficients (dynamic effects), and Synthetic Control / SynthDiD for national or high-profile episodes. Baselines: (A) naive topic-frequency time series without reweighting, (B) manual-coding-only prevalence, (C) DiD ignoring staggered timing, (D) models without IPW reweighting for outlet availability. Evaluation metrics: classification — precision, recall, F1, calibration (Brier score); intercoder reliability — Krippendorff's alpha (target ≥0.75); topic stability — normalized mutual information across decades; causal — ATT estimates with robust clustered SEs, placebo p-values, pre-trend test p-values, and bootstrap 95% confidence intervals. Ablation studies: (1) remove regional outlets to test subnational signal contribution; (2) omit IPW reweighting for outlet-year availability to assess source-selection bias; (3) train classifiers with 2k vs 10k labels to measure label-size sensitivity. Statistical setup: pre-register exact model formulas; run Monte-Carlo power simulations for DiD and event-study under ICC in {0.01,0.05,0.10} and serial correlation ρ in {0.0,0.3,0.6} to compute MDEs; perform leave-one-out outlet influence diagnostics and multiple-testing correction (Benjamini-Hochberg) for frame-time series tests. Reproducibility: all pipelines in Docker/Snakemake, data versions via DVC, code and preregistration archived on OSF.</w:t>
      </w:r>
    </w:p>
    <w:p>
      <w:r>
        <w:t xml:space="preserve"> </w:t>
      </w:r>
    </w:p>
    <w:p>
      <w:pPr>
        <w:pStyle w:val="Heading2"/>
      </w:pPr>
      <w:r>
        <w:t>Risk Factors And Limitations</w:t>
      </w:r>
    </w:p>
    <w:p>
      <w:r>
        <w:t>Data access: paywalls or denied DPR/Pertamina access will limit corpus completeness and bias time series. OCR and legacy orthography: high error rates in older scans may produce noisy frame measures (technical failure: high CER/WER). Label noise: limited labeled data may yield low classifier performance and unreliable prevalence estimates. Confounding: concurrent macro shocks (oil prices, exchange rates, electoral timing) may make causal attribution to discourse difficult. Staggered adoption: heterogeneous treatment effects and violations of parallel trends can bias DiD estimators. Source-selection bias: changes in outlet digitization over time create selective observation of frames. Translation bias: back-translation limits may not catch subtle rhetorical meaning differences. Compute and scalability: fine-tuning IndoBERT and repeated Monte-Carlo power simulations require high-end GPUs and storage; limited compute can constrain experiments. Legal/privacy constraints: PDPL and IRB rules may restrict sharing of transcripts and interview data, limiting reproducibility. Generalization: findings may be specific to Indonesia's institutions and media ecology and not directly transferable to other countries.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