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aisr_brand_advocacy</w:t>
      </w:r>
    </w:p>
    <w:p>
      <w:r>
        <w:t xml:space="preserve"> </w:t>
      </w:r>
    </w:p>
    <w:p>
      <w:pPr>
        <w:pStyle w:val="Heading2"/>
      </w:pPr>
      <w:r>
        <w:t>Title</w:t>
      </w:r>
    </w:p>
    <w:p>
      <w:r>
        <w:t>Mixed-methods experimental and survey study of how AI social responsibility dimensions affect consumer brand advocacy</w:t>
      </w:r>
    </w:p>
    <w:p>
      <w:r>
        <w:t xml:space="preserve"> </w:t>
      </w:r>
    </w:p>
    <w:p>
      <w:pPr>
        <w:pStyle w:val="Heading2"/>
      </w:pPr>
      <w:r>
        <w:t>Short Hypothesis</w:t>
      </w:r>
    </w:p>
    <w:p>
      <w:r>
        <w:t>Providing consumers with higher AI social responsibility disclosures (technical and institutional) causes increased brand advocacy behavior, and this effect is mediated by higher perceived AI credibility and perceived AI empathy and moderated by consumers' AI literacy.</w:t>
      </w:r>
    </w:p>
    <w:p>
      <w:r>
        <w:t xml:space="preserve"> </w:t>
      </w:r>
    </w:p>
    <w:p>
      <w:pPr>
        <w:pStyle w:val="Heading2"/>
      </w:pPr>
      <w:r>
        <w:t>Related Work</w:t>
      </w:r>
    </w:p>
    <w:p>
      <w:r>
        <w:t>Prior work has examined ethical AI, trust in automation, and brand-consumer relationships using qualitative interviews, surveys, and isolated experiments. Existing approaches typically (1) treat AI responsibility as a single concept rather than separating technical (e.g., accuracy, privacy protections) and institutional (e.g., audits, policies) dimensions, (2) rely mainly on self-report attitudes rather than incentivized behavioral outcomes, (3) lack validated multi-item scales tailored to AI social responsibility, and (4) use small or underpowered samples and weak pre-registration of estimands and exclusion rules. Social-media NLP work extracts attitudes and stance but often has limited labeled data, inconsistent annotation protocols, and poor cross-domain generalization. Observational causal work uses event studies and DID but struggles with unobserved confounding and interference (spillovers) in networks. These gaps leave unclear which AISR dimensions drive real advocacy, through which psychological pathways, and for whom.</w:t>
      </w:r>
    </w:p>
    <w:p>
      <w:r>
        <w:t xml:space="preserve"> </w:t>
      </w:r>
    </w:p>
    <w:p>
      <w:pPr>
        <w:pStyle w:val="Heading2"/>
      </w:pPr>
      <w:r>
        <w:t>Abstract</w:t>
      </w:r>
    </w:p>
    <w:p>
      <w:r>
        <w:t>This study tests whether and how AI social responsibility (AISR) influences consumers' brand advocacy. We conceptualize AISR as two dimensions—technical (performance, privacy, bias mitigation) and institutional (audits, policies, accountability)—and develop validated multi-item scales. Using mixed methods, we (1) conduct qualitative interviews to refine measures, (2) run survey-based factor analyses to validate scales and measurement invariance, and (3) implement a pre-registered 2×2×2 randomized experiment manipulating AISR intensity, AI competence, and accountability cues. Primary outcome is a binary behavioral share action within 24 hours. We estimate causal mediation via perceived AI credibility and perceived AI empathy and test moderation by AI literacy. We integrate NLP-labeled social-media signals to extend external validity. Main contributions are: a validated AISR measurement instrument, causal estimates of AISR on real advocacy behavior, and a validated mediation and moderation map. Expected outcome: clear quantification of AISR pathways that inform theory and practice on responsible AI communication.</w:t>
      </w:r>
    </w:p>
    <w:p>
      <w:r>
        <w:t xml:space="preserve"> </w:t>
      </w:r>
    </w:p>
    <w:p>
      <w:pPr>
        <w:pStyle w:val="Heading2"/>
      </w:pPr>
      <w:r>
        <w:t>Experiments</w:t>
      </w:r>
    </w:p>
    <w:p>
      <w:r>
        <w:t>1) Qualitative phase: N≈30 semi-structured interviews (diverse demographics) to elicit AISR indicators; use thematic coding to draft items. 2) Scale validation: online survey N≈400; run exploratory factor analysis (EFA) then confirmatory factor analysis (CFA); report loadings, omega, Cronbach's alpha, CFI, TLI, RMSEA, SRMR; test measurement invariance across country and moral-identity tertiles (configural→metric→scalar). 3) Main randomized experiment: 2×2×2 factorial (AISR intensity: high vs neutral) × (AI competence: high vs low) × (accountability cue: present vs absent). Target N=1,000 (≈125 per cell); pilot N=200 to calibrate manipulations and SDs. Primary estimator: multilevel structural equation model (MSEM) with random intercepts for participant and platform/brand; GLMM family/link for binary outcome (logit link). Primary outcome: binary share action within 24h (1=yes). Mediators: perceived AI credibility and perceived AI empathy measured with multi-item scales (3–5 items each). Estimation: bootstrap CIs for indirect effects; pre-specify mediation estimands (both natural indirect effect and interventional indirect effect) and run sensitivity analyses (Imai-style and VanderWeele bounds). Pre-registration: exact estimands, GLMM link, random effect structure, software (lavaan + lme4 or brms), seeds, and handling of binary mediator/outcome nonlinearity. Missing data: multiple imputation with m=20 imputations including treatment, mediators, outcomes, and covariates. NLP extension: collect public social posts around pilot brand stimuli; label ≥5,000 posts for AISR dimensions and stance; data split 70/15/15 with fixed seeds; classifier baselines: logistic regression on TF-IDF, linear SVM, RoBERTa fine-tune; target F1≥0.80; report confusion matrices and calibration plots. Baselines for experiment: neutral AISR vignettes; ablation studies: (A) drop institutional AISR items, (B) drop technical AISR items, (C) compare natural vs interventional indirect effect estimators. Evaluation metrics: primary effect size (absolute risk difference) and odds ratio for share action, standardized indirect effect size, mediator proportion mediated, CFA fit indices, classifier precision/recall/F1, and power curves from Monte Carlo simulations across ICCs {.01,.05,.10}. Robustness checks: alternative exclusion thresholds, ITT vs per-protocol, cluster-robust SEs, network-spillover tests (permutation tests with 1-hop exposure definition), and placebo-date checks for observational NLP analyses.</w:t>
      </w:r>
    </w:p>
    <w:p>
      <w:r>
        <w:t xml:space="preserve"> </w:t>
      </w:r>
    </w:p>
    <w:p>
      <w:pPr>
        <w:pStyle w:val="Heading2"/>
      </w:pPr>
      <w:r>
        <w:t>Risk Factors And Limitations</w:t>
      </w:r>
    </w:p>
    <w:p>
      <w:r>
        <w:t>1) Mediator–outcome confounding: unmeasured variables could bias mediation estimates; sequential ignorability may not hold in observational extensions. 2) Behavioral measure limits: instrumented share may not equal natural sharing in real social contexts; platform API constraints could force simulated actions. 3) Social desirability and demand effects: participants may respond to perceived expectations, biasing self-report mediators. 4) Measurement generalization: AISR scales validated in one language/culture may not transfer; translation and invariance issues limit cross-cultural claims. 5) NLP fragility: classifiers trained on labeled data may not generalize over time or across platforms (domain shift). 6) Sample and recruitment bias: online panels may not represent target consumers; results may not generalize to all brands or industries. 7) Interference and spillovers: SUTVA (no interference) may be violated in networked settings, complicating causal estimates. 8) Compute and labeling costs: 5,000+ annotations and model training increase time and budget needs. 9) Privacy and legal constraints: data linkage and social-media collection may be limited by platform terms and IRB requirements, restricting observational analyses. 10) Statistical power for small indirect or spillover effects may be limited even with N≈1,000, reducing detectability of subtle mechanisms.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