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competence_iceberg_irt_validation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development and psychometric validation of a three-layer competence-iceberg measurement instrument for academic medical postgraduates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instrument combining visible, semi-visible, and deep-layer items and calibrated with a graded response IRT model will predict 2-year first-author publication count more accurately (higher standardized beta) than an instrument composed only of visible-layer items.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postgraduate competency assessment emphasize observable tasks (mini-CEX, workplace-based assessments, multisource feedback) and cognitive tests (situational judgement tests), analyzed primarily with classical test theory or simple CFA. Advanced psychometric work uses IRT/Rasch, generalizability theory, and CFA for scale refinement, but most studies focus on single-layer observable skills or single-method measures. Reflective narratives and epistemic cognition measures exist but are rarely integrated with quantitative item banks or automated at scale. Limitations: (1) limited integration of deep dispositional constructs (epistemic cognition, professional identity, intrinsic motivation) with task-level measures; (2) sparse multi-site replication and formal linking across cohorts; (3) inadequate pre-specified DIF and MNAR sensitivity workflows; (4) insufficient sample-size simulations accounting for clustering and missingness; (5) narrative coding automation is underdeveloped and lacks adversarial fairness audits. These gaps reduce inference about long-term academic development and fairness across demographic groups.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to develop and validate a maturity-focused competence-iceberg instrument for academic medical postgraduates using mixed qualitative and quantitative methods. Item generation will use behavioral event interviews, Delphi rounds, and cognitive interviews to create visible (task), semi-visible (reasoning/interaction), and deep (epistemic, identity, motivation) item pools. Psychometric refinement will apply exploratory factor analysis and graded response IRT (an IRT model for ordered response categories) in a derivation sample, then confirmatory factor analysis and concurrent calibration in independent sites. We will report item parameters, test information, DIF analyses, generalizability coefficients, and predictive validity for 2-year academic outputs. Main contributions: (1) an open instrument mapping three competence layers to concrete behaviors and narratives; (2) a pre-registered analytic pipeline for polytomous IRT, DIF, and MNAR sensitivity; (3) a validated NLP annotation workflow for reflective narratives. Expected outcomes: a pilot-ready, equity-monitored measurement tool with documented reliability and evidence of predictive validity for physician-scientist training outcomes.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1) Data collection: recruit 4 sites, target N=400 trainees total (≈100 per site); timeline: baseline (T0) and annual follow-ups for 2 years. Data types: visible items (4–6 BARS), semi-visible items (6–10 rubric items + 8–12 SCT vignettes), deep-layer scales (6–12 Likert items per construct) and 500–800 word reflective narratives. Collect criterion outcomes: number of first-author publications at 24 months, conference presentations, grant submissions, and teaching evaluation means. 2) Qualitative pipeline: behavioral event interviews (n≈40 across sites) + Delphi panel (n≈15) to generate items; cognitive interviews stratified by primary language and demographic subgroup (8–12 per cell) to finalize wording and translations. 3) Derivation sample (70% randomly selected, stratified by site): run EFA (ordinal DWLS estimator) to identify factor structure; retain factors with parallel analysis and MAP; rotate with oblique method. 4) IRT modeling: for polytomous Likert and BARS items use Graded Response Model (GRM: models ordered response categories with item discrimination and multiple thresholds). Fit GRM (package: mirt or IRTPRO) and report a (discrimination), b (thresholds), standard errors, item/test information curves, and marginal reliability. Pre-register item-fit: S-X2 p&gt;0.001 and infit/outfit MnSq within 0.7–1.3. Detect local dependence with Yen's Q3; flag residuals &gt;0.20. 5) DIF testing: primary method IRT-LR (likelihood ratio test in IRT) for polytomous items; sensitivity methods: ordinal logistic regression and Mantel-Haenszel (MH) for dichotomized anchors. Use Benjamini–Hochberg correction for multiple testing. Actionable DIF if statistically significant AND effect size &gt;0.20 SD in latent trait or expected-score difference &gt;0.3 points; remediate by revision, separate norms, or removal. 6) Concurrent calibration and linking: perform concurrent calibration across sites with site indicator item parameters; for longitudinal waves use common-item linking when identical items exist or Stocking–Lord transformation when calibrations differ; report linking constants and SEs. 7) Validation sample (remaining 30% + holdout site if available): run CFA with DWLS/WLSMV for ordinal items; report RMSEA (&lt;0.06), CFI/TLI (≥0.95), SRMR (&lt;0.08). Confirm factor structure and model-based scores. 8) Generalizability: run G-study (variance components: person, rater, occasion, site) and compute G-coefficients; target G≥0.70 for formative, ≥0.80 for summative. 9) Predictive validity: regress 2-year first-author publication count on latent trait scores using mixed-effects Poisson or negative binomial models (random intercepts for site and person where repeated); report standardized beta or incidence rate ratio and AUC for binary threshold (≥1 publication). Pre-specified hypothesis test: combined instrument standardized beta &gt; visible-only standardized beta (two-sided test, α=0.05). 10) Ablation: compare models trained on (a) visible-only, (b) visible+semi-visible, (c) full three-layer instrument to quantify marginal predictive gain. 11) Missing data: primary approach FIML in IRT/CFA; supplement with MICE (multiple imputation) for mixed-data; pre-specify MNAR sensitivity via pattern-mixture models shifting imputed values by Δ = {0.2, 0.5} SD and selection-model variants with selection parameter γ = {0.5,1.0}. Report sensitivity of key parameters. 12) Narrative coding and NLP: annotate 3,000 narrative segments with a schema (epistemic complexity, identity integration, self-regulation) with double coding 20% overlap; target Krippendorff’s alpha≥0.70. Train classifiers with active learning; evaluate on held-out set: precision, recall, F1 by label; target F1≥0.70 overall and per subgroup. Run fairness audit: per-group F1 and calibration; flag absolute gaps &gt;0.10. 13) Monte-Carlo simulations: simulate GRM data varying N={200,300,400,500}, ICC={0.02,0.05,0.10}, missingness MAR rates={10%,20%,30%}, item discrimination a={0.6,1.0,1.6}, threshold spacing small/medium/large; outcome: recoverability of a and b (RMSE), coverage of 95% CI, power to detect medium DIF (Cohen's d≈0.5) at α=0.05 after multiple-testing correction. Use simulations to justify final target N and subgroup sizes. 14) Reproducibility: pre-register analytic scripts, thresholds, and decision rules; publish item parameters, linking constants, and anonymized codebook.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Sample and clustering: lower-than-planned enrollment or high intra-site ICC will reduce effective sample size and precision for GRM parameters and DIF detection. 2) Item functioning: deep-layer items (dispositions, narratives) may show low discrimination (weak relation to trait) or high local dependence, complicating IRT fit. 3) Missing data and MNAR: nonrandom attrition (e.g., less-engaged trainees drop out) can bias estimates despite sensitivity analyses. 4) Rater variability: inconsistent rater calibration or drift may reduce G-coefficients and inflate measurement error for observable items. 5) DIF and fairness: items may show persistent DIF across language or demographic groups requiring removal or separate norms, reducing scale comparability. 6) NLP limits: automated classifiers may underperform for minority language styles or adversarial text, producing biased labels. 7) Generalizability: instrument validated in participating academic sites may not generalize to other countries, specialties, or non-academic trainees. 8) Computational cost: IRT, DIF, and Monte-Carlo simulations require substantial compute; limited resources may constrain simulation scope. 9) Causal inference limits: predictive associations between instrument scores and publication outcomes may be confounded by mentorship, protected time, or prior record despite covariate adjustment; causal claims are limited.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