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linguistic_domination_index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computational-psychometric framework to measure linguistic domination in interpersonal settings using a republican non-domination index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Contexts classified as 'linguistic domination' by the preregistered republican index (latent score &gt; 0.6 and at least three subindices &gt; 0.5) show higher rates of self-reported self-censorship and reduced access to public services than contexts not classified as domination.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spans three strands: sociolinguistic studies of language ideology, code-switching, and discrimination which document how speakers adjust language use under social pressure; psychometric research on cross-lingual scales and item response theory (IRT) which addresses measurement invariance but often focuses on single instruments or languages; and computational audits of platform moderation which use matched-content experiments and survival models to detect bias. Limitations across these strands include: (1) lack of an integrated, normative framework tying republican non-domination concepts to measurable indicators; (2) psychometric work frequently fails to ensure cross-language measurement invariance or to propagate uncertainty from item-level bias into decision cutoffs; (3) computational audits are often platform- or language-limited, legally constrained, and may not link to individual-level harms like self-censorship; and (4) governance and participatory processes for choosing loss functions and thresholds are typically underspecified.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builds and validates a republican non-domination index to identify interpersonal linguistic domination in multilingual territories. We combine a psychometric latent-variable approach (exploratory and confirmatory factor analysis, graded-response IRT) with computational proxies derived from policy texts, moderation logs, and linguistic markers of accommodation and topic avoidance. The main contribution is a preregistered, reproducible procedure that (a) defines five 0–1 subindices (control, arbitrariness, asymmetry, constraint on agency, lack of remedy), (b) specifies a decision rule (domination if latent score &gt;0.6 and ≥3 subindices &gt;0.5 or any subindex =1), and (c) publishes audit protocols and an annotation manual. Expected outcomes are: a validated index that predicts higher self-censorship and service exclusion in flagged contexts; open-source audit pipelines; and governance artifacts (Community Advisory Board inputs, legal gate decisions) to justify chosen loss matrices. The result aims to deliver a transparent, testable tool for researchers and policymakers to identify when linguistic interference constitutes domination.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Survey dataset: multilingual surveys in 10 contexts, per-language N=200–400, clustered by locality or institution (target pooled N≈1,500–2,500). Surveys include a 7-item self-censorship scale (Likert), behavioral vignettes, and avoided-action binaries. (2) Audit dataset: matched-pair synthetic-account posts across languages on two major platforms capturing post metadata, visibility, moderation actions, and takedown times. (3) Annotated corpora: gold-standard annotations mapping linguistic features to subindices (core languages 1,500–2,000 units; low-resource ≥300). (4) Policy corpus: public monolingual mandates and administrative texts. Baselines: (A) survey-only composite (equal-weight average), (B) computational-only classifier (language-based features), (C) latent-factor model without computational proxies, (D) random classifier. Metrics: psychometrics—RMSEA and CFI (fit, where RMSEA is a measure of fit error and CFI compares model fit to a null model), McDonald’s omega (reliability), IRT graded-response fit statistics; invariance—configural/metric/scalar/residual tests and DIF statistics (Lord’s chi-square, MIMIC models); predictive—AUC, precision/recall, Cohen’s d for mean differences; audit—hazard ratios from Cox survival models, logistic mixed-effects for moderation probability. Setup: 1) EFA on pooled survey items to suggest factor structure; 2) CFA and multigroup invariance tests per language (sequence: configural→metric→scalar→residual); 3) graded-response IRT for ordinal items and detection of DIF; 4) construct latent domination score and evaluate ROC against a 60–100 case expert-adjudicated anchor set; 5) compare weighting schemes (equal weights vs theory-driven weights vs data-driven factor weights) in an ablation study; 6) run audits: post matched-language pairs, estimate takedown hazard differences and moderation odds; 7) multilevel models (individuals nested in clusters) testing whether contexts flagged as domination predict higher self-censorship and reduced self-reported service access; 8) cross-validation and language/platform holdouts to test generalization. Ablations: remove computational proxies, remove remedy subindex, and compare weighting methods to assess contribution of each component.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psychometric models may not achieve full measurement invariance across languages; IRT models can fail with small per-language sample sizes or low item discrimination (items that do not differentiate respondents). Data and evaluation biases: selection bias in survey respondents and platform sampling; nonresponse and social-desirability bias in self-reports; annotation bias if native annotator pools are limited. Legal and privacy constraints: platform ToS or legal gates may prevent synthetic-account audits or access to moderation logs. Scalability and compute: graded-response IRT and large NLP feature extraction require substantial compute for many languages and may be infeasible for large annotation targets. Generalization limits: classifiers and proxies trained on core languages may not transfer to low-resource or highly divergent dialects. Decision-rule sensitivity: chosen cutoffs and loss matrices may be unstable under sampling variability, producing false positives/negatives. Governance limits: CAB decisions and participatory weighting choices can introduce subjectivity that affects reproducibility.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