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phil_repro_metadata_bundle</w:t>
      </w:r>
    </w:p>
    <w:p>
      <w:r>
        <w:t xml:space="preserve"> </w:t>
      </w:r>
    </w:p>
    <w:p>
      <w:pPr>
        <w:pStyle w:val="Heading2"/>
      </w:pPr>
      <w:r>
        <w:t>Title</w:t>
      </w:r>
    </w:p>
    <w:p>
      <w:r>
        <w:t>Standardized metadata and reproducibility bundle for discoverability and verification of online-first philosophy of religion articles</w:t>
      </w:r>
    </w:p>
    <w:p>
      <w:r>
        <w:t xml:space="preserve"> </w:t>
      </w:r>
    </w:p>
    <w:p>
      <w:pPr>
        <w:pStyle w:val="Heading2"/>
      </w:pPr>
      <w:r>
        <w:t>Short Hypothesis</w:t>
      </w:r>
    </w:p>
    <w:p>
      <w:r>
        <w:t>Providing a standardized metadata and reproducibility bundle (schema.org markup, complete author ORCID identifiers, Crossref/repository DOIs for data/code, and a minimal runnable artifact) for online-first philosophy articles will increase successful metadata harvests and independent reproduction of a minimal artifact within 30 days after publication compared to current publisher metadata alone.</w:t>
      </w:r>
    </w:p>
    <w:p>
      <w:r>
        <w:t xml:space="preserve"> </w:t>
      </w:r>
    </w:p>
    <w:p>
      <w:pPr>
        <w:pStyle w:val="Heading2"/>
      </w:pPr>
      <w:r>
        <w:t>Related Work</w:t>
      </w:r>
    </w:p>
    <w:p>
      <w:r>
        <w:t>Existing approaches rely on publisher-supplied bibliographic metadata (Crossref, Dublin Core) and isolated repository deposits (institutional repositories, Zenodo) with intermittent schema.org markup. In scientific domains, reproducibility bundles, containerized code, preregistrations (OSF), and persistent DOIs are increasingly used to enable verification. Humanities publishing has adopted some identifiers (DOIs, ORCIDs) but lacks consistent inclusion of runnable artifacts, machine-readable metadata, and preregistration links. Limitations of current methods include inconsistent field coverage (missing author IDs, funder or license fields), poor schema.org adoption that hurts search engines, lack of minimal test artifacts that allow simple verification, and absence of standard provenance for containers or commit hashes. These gaps produce difficulty for automated harvesters, reduced discoverability, and low rate of independent verification in humanities fields.</w:t>
      </w:r>
    </w:p>
    <w:p>
      <w:r>
        <w:t xml:space="preserve"> </w:t>
      </w:r>
    </w:p>
    <w:p>
      <w:pPr>
        <w:pStyle w:val="Heading2"/>
      </w:pPr>
      <w:r>
        <w:t>Abstract</w:t>
      </w:r>
    </w:p>
    <w:p>
      <w:r>
        <w:t>This project develops and evaluates a standardized metadata and reproducibility bundle tailored for online-first philosophy of religion articles. The bundle combines complete bibliographic fields, schema.org markup (machine-readable web metadata), author ORCID identifiers, Crossref and repository DOIs for data and code, declared licenses, and a small runnable artifact with provenance metadata (commit hashes and checksums). We will implement the bundle across a randomized sample of recent online-first articles and measure effects on automated metadata harvesting, discoverability, DOI resolution reliability, and the ability of an independent reviewer to run the minimal artifact and reproduce a specified output. The main contribution is an empirical assessment of how a minimal, lightweight reproducibility package affects visibility and verification in a humanities context. Expected outcomes are quantifiable increases in metadata completeness, DOI resolution rate, and successful basic reproduction attempts, providing an evidence base for publisher and repository policy changes that improve transparency and access for philosophical scholarship.</w:t>
      </w:r>
    </w:p>
    <w:p>
      <w:r>
        <w:t xml:space="preserve"> </w:t>
      </w:r>
    </w:p>
    <w:p>
      <w:pPr>
        <w:pStyle w:val="Heading2"/>
      </w:pPr>
      <w:r>
        <w:t>Experiments</w:t>
      </w:r>
    </w:p>
    <w:p>
      <w:r>
        <w:t>Datasets: 1) A corpus of 200 online-first philosophy of religion articles from diverse publishers within the last 18 months. 2) A small open test artifact: annotated text excerpt (CSV), one analysis script (Python notebook), and expected output file (JSON) used for reproduction checks. Baselines: current publisher metadata only; intervention: publisher metadata plus the standardized bundle (schema.org, full ORCIDs, DOIs for data/code, license, runnable artifact, commit hash, checksum). Randomized assignment: randomly assign 100 articles to control and 100 to intervention, stratified by publisher. Evaluation metrics: metadata completeness score (percentage of required fields present), DOI resolution success rate at T+0, T+30 minutes, and T+30 days, harvest success by major aggregators (binary per aggregator), discoverability change measured by search rank delta for specific queries, independent reproduction success rate (binary: reviewer reproduces expected output from runnable artifact within 2 hours), time-to-reproduce (minutes), and Altmetric proxy (mentions within 30 days). Experimental setup: preregister analysis plan; perform chi-square tests for proportions (metadata completeness, DOI resolution, reproduction success) and t-tests or nonparametric tests for continuous metrics; fit logistic regression models controlling for publisher and article age. Ablation study: within the intervention group, 50 articles include the full bundle and 50 include the bundle without the runnable artifact (only metadata and DOIs) to measure the runnable artifact's contribution to reproduction success and discoverability. Reproducibility check: independent reviewers blinded to group assignment attempt reproduction following the provided runbook; log errors and classify failure modes.</w:t>
      </w:r>
    </w:p>
    <w:p>
      <w:r>
        <w:t xml:space="preserve"> </w:t>
      </w:r>
    </w:p>
    <w:p>
      <w:pPr>
        <w:pStyle w:val="Heading2"/>
      </w:pPr>
      <w:r>
        <w:t>Risk Factors And Limitations</w:t>
      </w:r>
    </w:p>
    <w:p>
      <w:r>
        <w:t>1) Publisher cooperation variability: some publishers may not allow bundle changes, limiting external validity. 2) Small runnable artifact scope: humanities artifacts may not capture full argument replication; reproduction will be limited to simple computational checks. 3) Heterogeneous metadata practices: differences across publishers may confound results despite stratification. 4) Reviewer skill bias: independent reviewer ability affects reproduction success; reviewer training level must be recorded. 5) Search rank noise: discoverability measures can be influenced by external promotion or indexing delays. 6) DOI resolution transient failures: network or registry outages may cause false negatives. 7) Privacy or rights restrictions: some texts cannot be openly released, restricting bundle completeness. 8) Scalability: creating runnable artifacts for all humanities work may be labor intensive. 9) Generalization: results from philosophy of religion may not generalize to other humanities subfields. 10) Measurement window: a 30-day post-publication window may miss longer-term indexing and impact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