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mipspec_wine</w:t>
      </w:r>
    </w:p>
    <w:p>
      <w:r>
        <w:t xml:space="preserve"> </w:t>
      </w:r>
    </w:p>
    <w:p>
      <w:pPr>
        <w:pStyle w:val="Heading2"/>
      </w:pPr>
      <w:r>
        <w:t>Title</w:t>
      </w:r>
    </w:p>
    <w:p>
      <w:r>
        <w:t>MIPspec: a concept-map guided nine-step metaphor identification procedure for promotional wine-tasting discourse</w:t>
      </w:r>
    </w:p>
    <w:p>
      <w:r>
        <w:t xml:space="preserve"> </w:t>
      </w:r>
    </w:p>
    <w:p>
      <w:pPr>
        <w:pStyle w:val="Heading2"/>
      </w:pPr>
      <w:r>
        <w:t>Short Hypothesis</w:t>
      </w:r>
    </w:p>
    <w:p>
      <w:r>
        <w:t>Using MIPspec with concept-map guided sense exploration will increase annotator Cohen's kappa for binary metaphoricality by at least 0.10 compared to standard MIPVU annotation, and will improve token-level F1 of supervised metaphor detection models by at least 5 absolute percentage points when trained on MIPspec-labeled data.</w:t>
      </w:r>
    </w:p>
    <w:p>
      <w:r>
        <w:t xml:space="preserve"> </w:t>
      </w:r>
    </w:p>
    <w:p>
      <w:pPr>
        <w:pStyle w:val="Heading2"/>
      </w:pPr>
      <w:r>
        <w:t>Related Work</w:t>
      </w:r>
    </w:p>
    <w:p>
      <w:r>
        <w:t>Existing metaphor identification protocols for text include MIP and its operationalized variant MIPVU. Computational metaphor detection methods typically train sequence models on manually labeled corpora or use lexicon features, multiword detection, and domain adaptation. Limitations in current work are: (1) protocols are designed for general or literary language and do not incorporate systematic domain knowledge needed for specialized promotional registers; (2) MIP/MIPVU lack integrated procedures for multiword units and nested metaphors in dense domain jargon; (3) annotation schemas often omit machine-readable provenance, controlled vocabularies, and lexicon governance, reducing reproducibility; (4) most modeling work does not evaluate how annotation-guidance artifacts (for example structured conceptual exploration) affect IAA or downstream model performance; (5) domain frequency thresholds, MWU heuristics, and adjudication rules are commonly informal and not subjected to sensitivity analysis. These unresolved issues motivate a domain-centered, reproducible procedure with explicit concept-map steps.</w:t>
      </w:r>
    </w:p>
    <w:p>
      <w:r>
        <w:t xml:space="preserve"> </w:t>
      </w:r>
    </w:p>
    <w:p>
      <w:pPr>
        <w:pStyle w:val="Heading2"/>
      </w:pPr>
      <w:r>
        <w:t>Abstract</w:t>
      </w:r>
    </w:p>
    <w:p>
      <w:r>
        <w:t>We present MIPspec, a nine-step, reproducible metaphor identification procedure tailored for specialized promotional wine-tasting texts. MIPspec extends MIP/MIPVU by inserting structured concept-map activities during initial conceptual exploration and final conceptual redefinition; concept maps are simple diagrams that link meanings, source domains, and evaluative functions to guide sense selection. The method pairs a machine-readable annotation schema, automated evidence snapshots from general and domain corpora, and a versioned domain lexicon with adjudication precedents. We apply MIPspec to promotional wine tasting discourse and test two outcomes: inter-annotator reliability for binary metaphoricality and the quality of supervised metaphor detection models trained on MIPspec labels. The main contributions are: (1) the MIPspec procedure with concept-map integration, (2) a formal JSON Schema and provenance fields for reproducible annotation, and (3) an evaluation plan comparing MIPspec to MIPVU annotations. We expect clearer annotation decisions, higher agreement between annotators, and measurable gains in model detection performance, producing reusable labeled data and a transparent lexicon governance flow.</w:t>
      </w:r>
    </w:p>
    <w:p>
      <w:r>
        <w:t xml:space="preserve"> </w:t>
      </w:r>
    </w:p>
    <w:p>
      <w:pPr>
        <w:pStyle w:val="Heading2"/>
      </w:pPr>
      <w:r>
        <w:t>Experiments</w:t>
      </w:r>
    </w:p>
    <w:p>
      <w:r>
        <w:t>Datasets: (A) pilot annotated set: 500 tokens stratified by register (tasting notes, press, marketing); (B) main annotated corpus: 100,000 tokens stratified by register and Old/New World region; (C) external corpora for frequency baselines: COCA and BNC; (D) historical reference subset from Google Books where available. Annotation protocol: double annotation with two annotators per item, adjudication by a three-member panel (two annotators + domain expert); record dictionary citations, corpus-frequency snapshots, MWU flags, and provenance. Baselines: (1) MIPVU-style annotations (no concept maps) with same adjudication rules; (2) automated models trained on baseline labels. Models and inputs: (A) CRF with hand-crafted features (POS, lemma, MWU, lexicon flags); (B) BiLSTM-CRF token classifier; (C) domain-adapted transformer (fine-tune RoBERTa-base) with optional lexicon feature injection; (D) multi-task variant predicting metaphoricality and subtype. Evaluation metrics: Cohen's kappa (inter-annotator agreement; kappa measures agreement corrected for chance), Krippendorff's alpha for categorical fields, token-level precision/recall/F1 (F1 is harmonic mean of precision and recall), expected calibration error (ECE) for probability calibration, and bootstrap 95% confidence intervals. Experimental setup: 80/10/10 train/dev/test splits; stratified 5-fold cross-validation for robustness (cross-validation splits keep register/region balance). Hyperparameters: transformer lr 2e-5, up to 10 epochs, batch size 16-32, early stopping on dev F1; BiLSTM hidden size 256, CRF baseline with L2 regularization. Statistical tests and ablations: report bootstrap CIs and run McNemar's test for classifier pairwise differences (alpha=0.05); ablations include: remove concept-map steps (compare full MIPspec vs MIPVU), remove lexicon features, remove MWU detection, vary BASIC frequency thresholds (sensitivity analysis), and vary PMI threshold for MWU detection. Success criteria: kappa improvement &gt;=0.10 and model absolute F1 gain &gt;=5 points on test set.</w:t>
      </w:r>
    </w:p>
    <w:p>
      <w:r>
        <w:t xml:space="preserve"> </w:t>
      </w:r>
    </w:p>
    <w:p>
      <w:pPr>
        <w:pStyle w:val="Heading2"/>
      </w:pPr>
      <w:r>
        <w:t>Risk Factors And Limitations</w:t>
      </w:r>
    </w:p>
    <w:p>
      <w:r>
        <w:t>Subjectivity: metaphor judgments remain partly subjective; even with concept maps annotators may disagree, producing low IAA. Data bias: the stratified wine corpus may over-represent certain registers, regions, or producers, limiting generalization. Sample size: obtaining 100k high-quality double-annotated tokens is labor-intensive and may be infeasible, reducing statistical power. MWU detection errors: automatic PMI-based multiword detection may misidentify units, affecting annotations and models. Lexicon licensing: authoritative dictionaries and wine references may have restricted APIs or licenses that limit automated evidence capture. Compute limits: fine-tuning large transformers and running stratified cross-validation need GPU resources and time. Threshold sensitivity: chosen cutoffs (PMI, frequency per 10k, disagreement 20%) are heuristic and may change results; sensitivity analyses are required. External validity: gains observed in promotional wine discourse may not transfer to other specialized domains (medical, legal). Privacy and provenance: storing annotator provenance must balance reproducibility with privacy regulations.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