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eros_philosophical_ascent</w:t>
      </w:r>
    </w:p>
    <w:p>
      <w:r>
        <w:t xml:space="preserve"> </w:t>
      </w:r>
    </w:p>
    <w:p>
      <w:pPr>
        <w:pStyle w:val="Heading2"/>
      </w:pPr>
      <w:r>
        <w:t>Title</w:t>
      </w:r>
    </w:p>
    <w:p>
      <w:r>
        <w:t>Operationalizing a trifold ἔρως taxonomy to quantify how corporeal beauty triggers divine eros and philosophical ascent in Plato's Phaedrus using annotated TEI-XML corpora and inter-annotator reliability analysis</w:t>
      </w:r>
    </w:p>
    <w:p>
      <w:r>
        <w:t xml:space="preserve"> </w:t>
      </w:r>
    </w:p>
    <w:p>
      <w:pPr>
        <w:pStyle w:val="Heading2"/>
      </w:pPr>
      <w:r>
        <w:t>Short Hypothesis</w:t>
      </w:r>
    </w:p>
    <w:p>
      <w:r>
        <w:t>In the Phaedrus, occurrences of ἔρως that co-occur with corporeal sensory lexical markers significantly increase the probability of subsequent textual markers of divine ἔρως (e.g., μανία, θεῖος) and of transitions into philosophical language (τὸ καλόν, θεωρεῖν), compared with occurrences without corporeal markers.</w:t>
      </w:r>
    </w:p>
    <w:p>
      <w:r>
        <w:t xml:space="preserve"> </w:t>
      </w:r>
    </w:p>
    <w:p>
      <w:pPr>
        <w:pStyle w:val="Heading2"/>
      </w:pPr>
      <w:r>
        <w:t>Related Work</w:t>
      </w:r>
    </w:p>
    <w:p>
      <w:r>
        <w:t>Existing approaches combine philological close reading with digital tools: TEI-based textual collation, lemmatizers (Perseus/Morpheus), and early taxonomy proposals for ἔρως categories. Recent projects used NLP to extract co-occurrence patterns and to visualize lexical fields, but they share limitations: small annotated samples, ad hoc annotation schemas, weak or absent inter-annotator agreement (IAA) reporting, lack of formal sampling strategies, insufficient treatment of multi-label or overlapping categories, and limited integration of paleographic evidence (image-linked readings) into annotations. Reproducibility is often hindered by missing containerized environments, unspecified tool versions, and absent CI checks for TEI/CSV round-trips. No prior work combines a pre-registered statistical power plan for IAA, stratified sampling across manuscripts and clause types, explicit multi-label scoring rules, and ablation tests that quantify the contribution of paleographic metadata to interpretative labels.</w:t>
      </w:r>
    </w:p>
    <w:p>
      <w:r>
        <w:t xml:space="preserve"> </w:t>
      </w:r>
    </w:p>
    <w:p>
      <w:pPr>
        <w:pStyle w:val="Heading2"/>
      </w:pPr>
      <w:r>
        <w:t>Abstract</w:t>
      </w:r>
    </w:p>
    <w:p>
      <w:r>
        <w:t>We address the problem of how corporeal beauty in Plato's Phaedrus instigates divine ἔρως and a transition to philosophical discourse. We propose an operational workflow that 1) defines a trifold taxonomy of ἔρως (corporeal, divine/μανία, philosophical), 2) produces TEI-P5 annotated corpora linked to manuscript images, and 3) evaluates statistical associations and annotation reliability with pre-registered power calculations. Main contributions are: an explicit annotation unit and multi-label scoring rules; a stratified sampling and IAA plan with bootstrap confidence intervals; TEI/CSV/JSON-LD artifacts and a containerized pipeline for reproducibility; and experiments that test whether lexical and paleographic cues predict transitions from corporeal to divine/philosophical language. Expected outcomes are a validated annotation protocol, quantifiable measures of how bodily language predicts divine inspiration and ascent, and a reusable dataset and pipeline for future philological and computational studies. Technical terms (e.g., TEI: a standard XML format for texts; IAA: agreement between annotators) are used and explained simply in the artifacts.</w:t>
      </w:r>
    </w:p>
    <w:p>
      <w:r>
        <w:t xml:space="preserve"> </w:t>
      </w:r>
    </w:p>
    <w:p>
      <w:pPr>
        <w:pStyle w:val="Heading2"/>
      </w:pPr>
      <w:r>
        <w:t>Experiments</w:t>
      </w:r>
    </w:p>
    <w:p>
      <w:r>
        <w:t>Datasets: (1) Pilot: TEI-XML and CSV annotation of Phaedrus 244a–246b across at least 5 manuscript witnesses (digital images from British Library, Biblioteca Nacional Griega, Pinakes or equivalent) and modern critical text; (2) Extended: annotated range 230a–248e and 249c–257b across 15–25 witnesses as available. Annotation unit: each lexical occurrence of ἔρως with immediate modifiers; labels: primary (corporeal / divine / philosophical) + optional secondary. Baselines: (A) lexical-rule baseline that assigns labels by simple keyword lists (e.g., presence of ὁρᾶν→corporeal; μανία→divine); (B) single-label forced baseline that disallows secondary tags; (C) random label baseline. Supervised models: logistic regression and a sequence model (conditional random field) trained to predict label transitions given token windows and paleographic features. Evaluation metrics: Cohen's κ and Krippendorff's alpha for IAA with bootstrap 95% confidence intervals; per-label precision, recall, F1; conditional transition probabilities P(divine|corporeal); AUC for supervised classifiers. Sampling and power: pilot n≈100 occurrences for calibration; planned analysis sample n≈200 occurrences derived by simulation to detect κ differences (target κ≥0.75 vs null 0.50) with power 0.8 under plausible class imbalances; final sample size determined by pre-run simulation code. Stratified sampling: strata by manuscript witness and clause type (narrative myth, direct speech, philosophical argument) to avoid clustered dependence. Ablations: (1) remove paleographic metadata (image-linked @cert scores) to measure effect of material evidence on label assignment; (2) forbid secondary labels to measure multi-label value; (3) ablate context window size for sequence model. Tooling and setup: annotations in INCEpTION with TEI export; lemmatization via Perseus/Morpheus; containerized environment (Docker) with pinned versions; automatic TEI validation (RelaxNG) and CI job that computes IAA reports. Reporting: full confusion matrices, bootstrap CIs for κ and per-label F1, and statistical tests comparing P(divine|corporeal) to baseline using permutation tests.</w:t>
      </w:r>
    </w:p>
    <w:p>
      <w:r>
        <w:t xml:space="preserve"> </w:t>
      </w:r>
    </w:p>
    <w:p>
      <w:pPr>
        <w:pStyle w:val="Heading2"/>
      </w:pPr>
      <w:r>
        <w:t>Risk Factors And Limitations</w:t>
      </w:r>
    </w:p>
    <w:p>
      <w:r>
        <w:t>1) Data access: some manuscript images may be unavailable or restricted, reducing witness coverage and biasing results. 2) Small-sample instability: rare categories or rare cross-label overlaps can yield unstable κ and wide confidence intervals. 3) Class imbalance: dominance of one label will reduce effective power for minority labels and may inflate some metrics. 4) Annotation subjectivity: interpretative tags depend on expert judgment and may show systematic bias between annotators. 5) Multi-label scoring complexity: partial agreements are hard to quantify and standard κ variants may not reflect nuanced overlap. 6) Paleographic uncertainty: low-quality images or ambiguous hands limit reliable @cert scoring and may decouple textual form from intended meaning. 7) Toolchain fragility: lemmatizers and tokenizers for ancient Greek have error rates that affect downstream labels. 8) Scalability: full collation across many witnesses requires substantial person-hours and storage; compute limits may constrain sequence-model experiments. 9) Generalization: findings on Phaedrus passages may not generalize across Plato's corpus or other genres. 10) Legal/rights constraints: image licenses or embargoes may restrict public release of linked datasets.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