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bruja_gotico_care</w:t>
      </w:r>
    </w:p>
    <w:p>
      <w:r>
        <w:t xml:space="preserve"> </w:t>
      </w:r>
    </w:p>
    <w:p>
      <w:pPr>
        <w:pStyle w:val="Heading2"/>
      </w:pPr>
      <w:r>
        <w:t>Title</w:t>
      </w:r>
    </w:p>
    <w:p>
      <w:r>
        <w:t>Multilingual TEI-based corpus annotation and supervised NLP analysis to detect care practices and resistance enacted by the witch figure in recent Latin American Gothic narrative</w:t>
      </w:r>
    </w:p>
    <w:p>
      <w:r>
        <w:t xml:space="preserve"> </w:t>
      </w:r>
    </w:p>
    <w:p>
      <w:pPr>
        <w:pStyle w:val="Heading2"/>
      </w:pPr>
      <w:r>
        <w:t>Short Hypothesis</w:t>
      </w:r>
    </w:p>
    <w:p>
      <w:r>
        <w:t>Augmenting supervised NLP models with a codified lexicon of magical-care motifs (herbalism, rituals, caregiving actions) will increase automatic detection of care-oriented, resistance-linked passages in Latin American Gothic texts by at least 15 percentage points F1 versus models using only generic topic modeling.</w:t>
      </w:r>
    </w:p>
    <w:p>
      <w:r>
        <w:t xml:space="preserve"> </w:t>
      </w:r>
    </w:p>
    <w:p>
      <w:pPr>
        <w:pStyle w:val="Heading2"/>
      </w:pPr>
      <w:r>
        <w:t>Related Work</w:t>
      </w:r>
    </w:p>
    <w:p>
      <w:r>
        <w:t>Digital humanities projects have used TEI (a text encoding standard) and OCR (optical character recognition: software that turns images of text into machine-readable text) plus NER (named entity recognition: automatic detection of names, places, etc.) and topic modeling (automatic grouping of themes) to analyze literary corpora. Machine learning approaches using multilingual transformer models (for example, XLM-R) improve cross-language NER but perform poorly on low-resource indigenous languages. Unsupervised topic models (LDA, BERTopic) find broad themes but miss fine-grained motifs like caregiving practices. Affective or care-focused annotation schemes are rare, and existing pipelines often lack community consent protocols and lexica for herbal/ritual terms. Limitations: weak OCR on nonstandard orthographies, lack of annotated examples for magical-care motifs, cultural mismatch in affect detection, and insufficient governance mechanisms for sensitive community materials.</w:t>
      </w:r>
    </w:p>
    <w:p>
      <w:r>
        <w:t xml:space="preserve"> </w:t>
      </w:r>
    </w:p>
    <w:p>
      <w:pPr>
        <w:pStyle w:val="Heading2"/>
      </w:pPr>
      <w:r>
        <w:t>Abstract</w:t>
      </w:r>
    </w:p>
    <w:p>
      <w:r>
        <w:t>This project addresses how the witch figure in recent Latin American Gothic narrative functions as an aesthetic and political mediator of care and resistance to extractivism and patriarchal violence. We propose to build a multilingual, TEI-encoded corpus with manual spans and entity annotations for motifs of magic, care, and harm; to create a domain lexicon (Bruja-LAT) of plants, rituals and caregiving actions; and to train supervised NLP models that combine named entity recognition and sequence classification to detect care-oriented passages. The main contribution is an annotated, governance-aware pilot corpus and a reproducible pipeline that evaluates whether domain-aware models outperform generic topic methods in identifying care practices linked to resistance. Expected outcomes include quantified model gains in detection accuracy, a TEI schema for care motifs, and a documented dataset governance plan enabling ethically informed reuse.</w:t>
      </w:r>
    </w:p>
    <w:p>
      <w:r>
        <w:t xml:space="preserve"> </w:t>
      </w:r>
    </w:p>
    <w:p>
      <w:pPr>
        <w:pStyle w:val="Heading2"/>
      </w:pPr>
      <w:r>
        <w:t>Experiments</w:t>
      </w:r>
    </w:p>
    <w:p>
      <w:r>
        <w:t>Datasets: (1) Pilot annotated corpus: 40 texts (30–50 items) balanced by region (Mexico, Andes, Cono Sur, Caribe, Brasil, Centroamérica), languages: Spanish, Portuguese, and ≥4 items in indigenous/afrodescendent languages; manual TEI spans for motifs and entities. (2) Extended training set: ~20,000 pages Spanish, ~5,000 pages Portuguese, ~3,000 pages indigenous fragments for fine-tuning and testing. Baselines: (A) Unsupervised LDA topic modeling (topic counts tuned), (B) BERTopic (embeddings+clustering), (C) off-the-shelf multilingual NER/classifier (XLM-R model without domain lexicon). Proposed models: (1) XLM-R fine-tuned for span detection + classification with Bruja-LAT lexicon features; (2) same model trained with active learning sampling (uncertainty sampling). Evaluation metrics: precision, recall, F1 for motif/span detection; topic coherence (for topic baselines); Krippendorff's alpha for annotation reliability; ROC-AUC for binary resistance-care classification. Experimental setup: 5-fold cross-validation on annotated pilot; hold-out test set drawn by region and language (20%); hyperparameter grid search for learning rate, batch size, and sequence length. Ablation studies: (i) remove Bruja-LAT lexicon features; (ii) remove affective labels (asombro, terror, consuelo); (iii) compare active learning vs random sampling with equal annotation budget. Report per-language and per-region performance and fairness metrics (difference in F1 across groups).</w:t>
      </w:r>
    </w:p>
    <w:p>
      <w:r>
        <w:t xml:space="preserve"> </w:t>
      </w:r>
    </w:p>
    <w:p>
      <w:pPr>
        <w:pStyle w:val="Heading2"/>
      </w:pPr>
      <w:r>
        <w:t>Risk Factors And Limitations</w:t>
      </w:r>
    </w:p>
    <w:p>
      <w:r>
        <w:t>1) OCR and ASR error rates for indigenous and nonstandard orthographies may be high, reducing downstream model accuracy. 2) Small size of high-quality annotated pilot limits statistical power and generalization. 3) Cultural bias in lexica and affect labels can misrepresent community meanings. 4) Models trained on sampled regions/languages may not generalize to other Latin American contexts. 5) Risk of re-identification or harm if sensitive materials are released or misused. 6) Compute limits for fine-tuning multilingual transformers may constrain experiments. 7) Annotation agreement may remain below target (Krippendorff's alpha &lt; 0.7) for complex affective or performative spans. 8) Legal and licensing constraints for source texts may restrict data sharing and reproduction.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