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seven_p_madrasah_branding</w:t>
      </w:r>
    </w:p>
    <w:p>
      <w:r>
        <w:t xml:space="preserve"> </w:t>
      </w:r>
    </w:p>
    <w:p>
      <w:pPr>
        <w:pStyle w:val="Heading2"/>
      </w:pPr>
      <w:r>
        <w:t>Title</w:t>
      </w:r>
    </w:p>
    <w:p>
      <w:r>
        <w:t>Mixed-methods stepped-wedge evaluation of 7P marketing-mix integration to strengthen institutional branding and student character outcomes in an Islamic madrasah</w:t>
      </w:r>
    </w:p>
    <w:p>
      <w:r>
        <w:t xml:space="preserve"> </w:t>
      </w:r>
    </w:p>
    <w:p>
      <w:pPr>
        <w:pStyle w:val="Heading2"/>
      </w:pPr>
      <w:r>
        <w:t>Short Hypothesis</w:t>
      </w:r>
    </w:p>
    <w:p>
      <w:r>
        <w:t>Implementing a 7P-aligned intervention in partner madrasahs causes an increase of at least 0.25 standard deviations in students' standardized composite character scores at endline compared with pre-intervention periods and control periods.</w:t>
      </w:r>
    </w:p>
    <w:p>
      <w:r>
        <w:t xml:space="preserve"> </w:t>
      </w:r>
    </w:p>
    <w:p>
      <w:pPr>
        <w:pStyle w:val="Heading2"/>
      </w:pPr>
      <w:r>
        <w:t>Related Work</w:t>
      </w:r>
    </w:p>
    <w:p>
      <w:r>
        <w:t>Prior work spans three strands: (1) educational marketing and school branding studies that document how messaging, facilities, and community engagement affect parental perceptions and enrollment signals; (2) applied psychometric pipelines in education that combine classical reliability (alpha/omega), confirmatory factor analysis (CFA), and item response theory (IRT) to validate scales across languages; and (3) cluster-based evaluation methods (cluster randomized trials, stepped-wedge designs, and propensity-score adjustments) used to estimate program effects when whole schools are treated. Limitations in existing approaches include weak causal identification in many branding studies (reliance on cross-sectional or descriptive evidence), limited integration of operational fidelity with outcomes, poor attention to cross-language measurement invariance, small sample rules for stable IRT/CFA estimates not respected in applied pilots, and under-specified stepped-wedge variance models (cluster autocorrelation often ignored). Evaluation practice also often omits pre-specified fallbacks for poor balance in observational comparisons and lacks transparent per-protocol and mediation pre-specification.</w:t>
      </w:r>
    </w:p>
    <w:p>
      <w:r>
        <w:t xml:space="preserve"> </w:t>
      </w:r>
    </w:p>
    <w:p>
      <w:pPr>
        <w:pStyle w:val="Heading2"/>
      </w:pPr>
      <w:r>
        <w:t>Abstract</w:t>
      </w:r>
    </w:p>
    <w:p>
      <w:r>
        <w:t>This study evaluates whether integrating the 7P marketing mix (product, price, place, promotion, people, process, physical evidence) into school operations increases measurable student character outcomes and institutional branding signals in an Islamic madrasah. We propose a mixed-methods pilot using a stepped-wedge cluster rollout across 8–12 partner madrasahs over 6–9 months. The core contributions are (1) a validated primary outcome — a standardized composite character score built from rubric-assessed portfolios and behavior items — with psychometric work (CFA+IRT+DIF) across age and language bands; (2) a pre-registered analytic plan for stepped-wedge inference using a Hussey &amp; Hughes generalized linear mixed model that accounts for within-period ICC and cluster autocorrelation; and (3) operational artifacts: fidelity indices, SOPs, and a community governance appendix. Expected outcomes include validated instruments, estimates of intervention effect size and ICCs for scaling, and a reproducible analysis package. Results will clarify whether a coordinated 7P intervention yields detectable improvements in student character measures and credible branding evidence for stakeholders.</w:t>
      </w:r>
    </w:p>
    <w:p>
      <w:r>
        <w:t xml:space="preserve"> </w:t>
      </w:r>
    </w:p>
    <w:p>
      <w:pPr>
        <w:pStyle w:val="Heading2"/>
      </w:pPr>
      <w:r>
        <w:t>Experiments</w:t>
      </w:r>
    </w:p>
    <w:p>
      <w:r>
        <w:t>Datasets: 8–12 partner Islamic madrasahs; target students Ntotal = 240–360 (≈20–45 students per school); age bands: 12–15 and 15–17 (adjust sample where available); stakeholders for qualitative work: 20–30 parents, 8–12 leaders/staff, 6–8 alumni per pilot wave. Baselines: business-as-usual (no 7P changes) during waitlist periods in stepped-wedge; within-pilot component-omission baselines (see ablation). Primary outcome: standardized composite character score (z-scored) computed from rubric-based portfolio ratings + behavior checklist items. Secondary metrics: Brand Credibility &amp; Enrollment Propensity Index (BCPI), portfolio rubric scores, classroom climate observation, library/studio usage, enrollment intent. Psychometrics: report omega/alpha ≥0.70 (pilot), target ≥0.80 finalized; CFA fit indices (CFI, RMSEA), IRT graded-response parameters, DIF tests across languages/age. Design: stepped-wedge cluster randomized rollout with K clusters (schools) randomized to sequence; cluster-period length = 2 months (example), total periods P determined by K and rollout cadence. Analysis: primary inferential model = Hussey &amp; Hughes generalized linear mixed model (GLMM): Y_ijkt = β0 + β1*Intervention_ijkt + γ_t (time fixed effects) + u_k (random cluster intercept) + e_ijkt, where Intervention_ijkt is treatment indicator for student i in cluster k at time t. Account for within-period ICC and cluster autocorrelation ρ (cluster-period correlation) in variance estimates. Estimation: multilevel mixed models with cluster-robust SEs, multiple imputation for missing data using multilevel MI (impute by cluster and time), and stabilized IPTW sensitivity analyses for nonrandomized comparisons (covariates: baseline score, SES, prior school choice, gender, age, primary language, prior referrals). IPTW rules: compute stabilized weights, trim at 1st and 99th percentiles, cap max weight at 10, require standardized mean difference (SMD) &lt;0.10 for covariate balance or trigger fallback (matched-pair/DiD). Power and sample rules: compute stepped-wedge power using Hussey &amp; Hughes formulas with inputs ICC ∈ {0.02,0.05,0.08} and cluster autocorrelation ρ ∈ {0.3,0.6,0.9}; target minimal detectable effect = 0.25 SD. Ablation study: assign 2–4 schools (balanced by size) to receive 7P minus one component (e.g., minus Promotion or minus Physical Evidence) to test component-level contribution; compare full 7P vs component-omission using same GLMM framework. Mediation: pre-specify cluster-aware causal mediation models testing fidelity indices (adherence %, dosage) as mediators using multilevel mediation methods. Reproducibility: provide pre-registered analysis scripts and simulated data examples (null and alternative) illustrating specified models.</w:t>
      </w:r>
    </w:p>
    <w:p>
      <w:r>
        <w:t xml:space="preserve"> </w:t>
      </w:r>
    </w:p>
    <w:p>
      <w:pPr>
        <w:pStyle w:val="Heading2"/>
      </w:pPr>
      <w:r>
        <w:t>Risk Factors And Limitations</w:t>
      </w:r>
    </w:p>
    <w:p>
      <w:r>
        <w:t>Technical: small pilot sample may yield unstable IRT/CFA parameter estimates (IRT needs many respondents per item for stable estimates); stepped-wedge variance may be underestimated if cluster autocorrelation is misspecified. Data/evaluation biases: social desirability in portfolio/self-report, observer bias in fidelity checks, and measurement non-invariance across languages (DIF) may invalidate comparisons. Missing data: clustered MNAR (missing not at random) processes can bias results and are hard to test. Design risks: contamination between schools (sharing materials), low intervention fidelity (insufficient dosage), and school dropout reduce power. Causal inference limits: IPTW with small clusters may not achieve balance, and stepped-wedge assumptions (no time-varying confounders correlated with rollout) may be violated. Operational/legal: insufficient parental opt-in for promotional artifacts may constrain secondary analyses. Generalization: findings will be specific to similar Islamic madrasahs, age bands, and local contexts and may not transfer to different education systems or cultures. Computational: multilevel MI and IRT calibration require moderate compute and expertise; resource limits may constrain full psychometric pipelines.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