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maygod_health_facework_ja</w:t>
      </w:r>
    </w:p>
    <w:p>
      <w:r>
        <w:t xml:space="preserve"> </w:t>
      </w:r>
    </w:p>
    <w:p>
      <w:pPr>
        <w:pStyle w:val="Heading2"/>
      </w:pPr>
      <w:r>
        <w:t>Title</w:t>
      </w:r>
    </w:p>
    <w:p>
      <w:r>
        <w:t>Mixed-effects and conversation-analytic evaluation of the pragmatic functions of "may god grant you health" in Jordanian Arabic</w:t>
      </w:r>
    </w:p>
    <w:p>
      <w:r>
        <w:t xml:space="preserve"> </w:t>
      </w:r>
    </w:p>
    <w:p>
      <w:pPr>
        <w:pStyle w:val="Heading2"/>
      </w:pPr>
      <w:r>
        <w:t>Short Hypothesis</w:t>
      </w:r>
    </w:p>
    <w:p>
      <w:r>
        <w:t>Use of explicit God-invoking variants of "may god grant you health" increases the probability that the utterance functions as redressive facework (mitigating a prior face-threatening act) compared to reduced or secular variants, controlling for speaker religiosity and sequential context.</w:t>
      </w:r>
    </w:p>
    <w:p>
      <w:r>
        <w:t xml:space="preserve"> </w:t>
      </w:r>
    </w:p>
    <w:p>
      <w:pPr>
        <w:pStyle w:val="Heading2"/>
      </w:pPr>
      <w:r>
        <w:t>Related Work</w:t>
      </w:r>
    </w:p>
    <w:p>
      <w:r>
        <w:t>Prior work links facework and politeness theory to formulaic religious speech and documents variants of blessings in Jordanian Arabic using conversation analysis and ethnography. Computational and quantitative studies have used mixed-effects models to predict variant choice, and acoustic studies have measured pitch and duration to relate prosody to pragmatic meaning. Limitations: existing corpora are small or unbalanced across social groups, many studies treat forms as lexical variants without multimodal prosodic or gesture alignment, religiosity is often measured weakly or not validated locally, and statistical models have not consistently modeled hierarchical clustering (speakers, items, settings) or preregistered inference rules. Ethical and de-identification procedures for sensitive audiovisual data are also underdeveloped in prior work.</w:t>
      </w:r>
    </w:p>
    <w:p>
      <w:r>
        <w:t xml:space="preserve"> </w:t>
      </w:r>
    </w:p>
    <w:p>
      <w:pPr>
        <w:pStyle w:val="Heading2"/>
      </w:pPr>
      <w:r>
        <w:t>Abstract</w:t>
      </w:r>
    </w:p>
    <w:p>
      <w:r>
        <w:t>This study tests how the blessing formula "may god grant you health" operates as facework in Jordanian Arabic and whether its form, prosody, and sequential placement reveal speakers' pragmatic competence. We combine conversation analysis (fine-grained transcription of sequence, overlap, and repairs), multimodal annotation (prosody, gesture), and hierarchical statistical models (mixed-effects logistic regression with random effects for speaker, item, and setting). We collect naturalistic recordings across regions and religiosity levels, annotate token-level function labels, extract speaker-normalized acoustic measures, and run perception experiments with manipulated prosodic variants. The main contribution is a reproducible pipeline that links interactional position and multimodal signals to measurable pragmatic functions, showing which signals predict redressive vs. affiliative uses. Expected outcomes are quantifiable effect sizes for variant-function links, validated religiosity measures, and preregistered analysis rules that improve inference about facework as a component of pragmatic competence.</w:t>
      </w:r>
    </w:p>
    <w:p>
      <w:r>
        <w:t xml:space="preserve"> </w:t>
      </w:r>
    </w:p>
    <w:p>
      <w:pPr>
        <w:pStyle w:val="Heading2"/>
      </w:pPr>
      <w:r>
        <w:t>Experiments</w:t>
      </w:r>
    </w:p>
    <w:p>
      <w:r>
        <w:t>Datasets: naturalistic audio-video recordings from Jordan, N_speakers = 40–60 stratified by region and age, target tokens ≈ 3,000; perception task participants N = 30–80 (within-subject). Annotation: ELAN tiers for FORM-VARIANT, FUNCTION (redressive/affiliative/other), SEQUENTIAL_POSITION, RECIPIENT_DESIGN, GESTURE; acoustic extraction with Praat using speaker-normalized zF0, medianF0, maxF0, F0 range, duration, intensity, and voice-quality measures (H1–H2, spectral tilt, jitter, shimmer). Baselines: (1) frequency-only logistic regression without random effects, (2) mixed-effects model without prosody or gesture predictors, (3) machine-learning classifier (random forest) on lexical features. Primary model: Bayesian mixed-effects logistic regression (outcome = redressive vs not), random intercepts for speaker/item/setting, random slopes for CONTEXT, FORM-VARIANT, SEQUENTIAL_POSITION; priors slopes ~ Normal(0,1). Evaluation metrics: PSIS-LOO expected log predictive density (model comparison), posterior credible intervals for effects, AUC and accuracy (predictive), odds ratios (effect size), inter-annotator reliability (Cohen's kappa for categorical tiers, ICC for continuous). Power: Monte Carlo simulations (1,000–2,000 iterations) across hierarchical regimes (vary speakers, items/speaker, tokens/item). Ablation studies: remove prosody predictors; remove religiosity predictor; compare models with and without CA-derived sequential predictors. Perception experiment: within-subject mixed-effects logistic regression on forced-choice function judgments; report effect of prosody manipulation and interaction with participant religiosity.</w:t>
      </w:r>
    </w:p>
    <w:p>
      <w:r>
        <w:t xml:space="preserve"> </w:t>
      </w:r>
    </w:p>
    <w:p>
      <w:pPr>
        <w:pStyle w:val="Heading2"/>
      </w:pPr>
      <w:r>
        <w:t>Risk Factors And Limitations</w:t>
      </w:r>
    </w:p>
    <w:p>
      <w:r>
        <w:t>Technical failures: pitch-tracking errors for unvoiced or noisy tokens, octave errors, and unreliable H1–H2 estimates; annotation drift and low inter-rater reliability for fine CA categories. Data bias: nonrandom sampling, social desirability in recorded contexts, underrepresentation of certain regions or age groups. Psychometrics: religiosity scale may be skewed or lack measurement invariance across groups if sample sizes are small. Computational limits: Bayesian hierarchical models can be slow and may struggle to converge with complex random-effects; simulations may require large compute. Generalization: findings may not extend beyond Jordanian Arabic or to other formulaic religious expressions. Ethical risks: sensitive audiovisual data from minors, refugees, or private events require strict consent and may limit shareable outputs. Evaluation limits: causal inference is conditional on modeled covariates and cannot fully rule out unmeasured contextual confounds.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