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epistolary_voice_convergence_divergence</w:t>
      </w:r>
    </w:p>
    <w:p>
      <w:r>
        <w:t xml:space="preserve"> </w:t>
      </w:r>
    </w:p>
    <w:p>
      <w:pPr>
        <w:pStyle w:val="Heading2"/>
      </w:pPr>
      <w:r>
        <w:t>Title</w:t>
      </w:r>
    </w:p>
    <w:p>
      <w:r>
        <w:t>A comparative computational and annotation-driven analysis of convergence and divergence in epistolary narrative voice between The Tenant of Wildfell Hall and Message on Longing and Passion</w:t>
      </w:r>
    </w:p>
    <w:p>
      <w:r>
        <w:t xml:space="preserve"> </w:t>
      </w:r>
    </w:p>
    <w:p>
      <w:pPr>
        <w:pStyle w:val="Heading2"/>
      </w:pPr>
      <w:r>
        <w:t>Short Hypothesis</w:t>
      </w:r>
    </w:p>
    <w:p>
      <w:r>
        <w:t>After controlling for addressee and paratext, the source text (The Tenant of Wildfell Hall vs Message on Longing and Passion) causes a measurable difference in calibrated affect intensity for LONGING and PASSION, while producing no significant difference in deictic density or direct-to-indirect speech ratio.</w:t>
      </w:r>
    </w:p>
    <w:p>
      <w:r>
        <w:t xml:space="preserve"> </w:t>
      </w:r>
    </w:p>
    <w:p>
      <w:pPr>
        <w:pStyle w:val="Heading2"/>
      </w:pPr>
      <w:r>
        <w:t>Related Work</w:t>
      </w:r>
    </w:p>
    <w:p>
      <w:r>
        <w:t>Existing approaches combine manual close reading, lexicon-based sentiment counts, supervised classification, and stylometric measures to study narrative voice. Computational work on epistolary texts often uses surface features (pronoun counts, direct-speech markers) and off-the-shelf sentiment lexica, but these methods lack historical calibration for nineteenth-century language. Bayesian hierarchical models have been used for nested literary data but are rarely paired with validated annotation schemas for speech acts and affect. Handwritten Text Recognition (HTR) is now common for archival transcription, yet published pipelines often omit stratified error analyses by hand or ink. Prior annotation efforts rarely include a gold double-annotated subset with adjudication or explicit IRT-based lexicon pruning. Limitations: lack of period-aware affect lexica, sparse validated speech-act classifiers for letters, weak treatment of HTR bias, and inadequate reproducibility practices (missing TEI/IIIF packaging and provenance).</w:t>
      </w:r>
    </w:p>
    <w:p>
      <w:r>
        <w:t xml:space="preserve"> </w:t>
      </w:r>
    </w:p>
    <w:p>
      <w:pPr>
        <w:pStyle w:val="Heading2"/>
      </w:pPr>
      <w:r>
        <w:t>Abstract</w:t>
      </w:r>
    </w:p>
    <w:p>
      <w:r>
        <w:t>This study measures how epistolary narrative voice converges or diverges across two nineteenth-century texts by combining manual annotation, historical lexicon calibration, HTR-enabled transcription, and hierarchical Bayesian modeling. We construct a TEI-encoded pilot corpus of letters, a gold double-annotated subset, and feature sets for deictics, speech acts, direct vs indirect speech, and affect flags for LONGING and PASSION. We build historically calibrated lexica using period sources and contextual embeddings to capture shifting valence, then train and evaluate supervised classifiers and Bayesian hierarchical models that control for addressee, narrator nesting, and paratext. The main contribution is a validated, reproducible pipeline linking philological encoding, annotated ground truth, and probabilistic inference to test whether voice metrics converge across texts while affective expression diverges by text and gendered speaker performance. Expected outcomes include a public TEI package, validated classifiers for speech acts and affect, model diagnostics for inference, and concrete operational rules for annotating longing and passion in historical letters.</w:t>
      </w:r>
    </w:p>
    <w:p>
      <w:r>
        <w:t xml:space="preserve"> </w:t>
      </w:r>
    </w:p>
    <w:p>
      <w:pPr>
        <w:pStyle w:val="Heading2"/>
      </w:pPr>
      <w:r>
        <w:t>Experiments</w:t>
      </w:r>
    </w:p>
    <w:p>
      <w:r>
        <w:t>Datasets: (1) Pilot corpus: 150 letters (≈75 per text) TEI-encoded with diplomatic and normalized tracks. (2) Gold set: 40 letters double-annotated and adjudicated. Features: deictic counts (I/you/this/that/here/there/now/then), pronoun ratios, direct/indirect-speech ratio, speech-act labels, stance markers, affect valence and intensity (0–3) with LONGING/PASSION flags, HTR confidence per page. Baselines: (A) lexicon-count thresholds using historical and modern lexica, (B) rule-based direct-speech heuristics, (C) logistic mixed model baseline. Supervised models: random forest, L1-regularized logistic regression, ordinal regression for affect intensity. Bayesian model: hierarchical (letters nested in narrator; fixed effects: text, addressee, paratext, date-bin; random intercepts for narrator and letter). Evaluation metrics: per-class precision/recall, macro and micro F1, weighted Cohen's kappa and mean absolute error for intensity, calibration plots and Brier score for probabilities, confusion matrices, ROC/AUC where applicable, HTR: character- and word-accuracy. Validation: 5-fold stratified cross-validation for supervised models (stratify by narrator), nested CV for hyperparameter tuning, and LOO/WAIC with Pareto k diagnostics for Bayesian models. Ablations: (1) remove historical lexicon to test lexicon contribution, (2) drop deictic features, (3) compare diplomatic vs normalized text inputs, (4) exclude low-HTR-confidence letters. Error analysis: stratify results by HTR confidence bins and by scribe/hand categories and report per-bin metrics. Reporting: include posterior predictive checks, R-hat and effective sample size (ESS) diagnostics, and class-wise calibration plots.</w:t>
      </w:r>
    </w:p>
    <w:p>
      <w:r>
        <w:t xml:space="preserve"> </w:t>
      </w:r>
    </w:p>
    <w:p>
      <w:pPr>
        <w:pStyle w:val="Heading2"/>
      </w:pPr>
      <w:r>
        <w:t>Risk Factors And Limitations</w:t>
      </w:r>
    </w:p>
    <w:p>
      <w:r>
        <w:t>Technical failure modes: HTR may produce systematic errors by hand or ink, reducing training data quality; classifiers may overfit small sample sizes per narrator. Data and evaluation biases: historical lexicon ambiguity and polysemy can mislabel affect; unbalanced nests (few letters per narrator) limit power for random effects. Scalability limits: Bayesian hierarchical inference with many random effects can be computationally heavy and slow. Generalization limits: findings will be specific to these two texts and their sociohistorical context; lexicon and models may not transfer to other periods or genres. Annotation risks: low inter-annotator agreement on affective intensity or sarcasm reduces gold standard reliability. Ethical and legal constraints: image rights or embargoes may restrict public release of manuscript images, limiting reproducibility of the full pipeline.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