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female_early_marriage_social_disability</w:t>
      </w:r>
    </w:p>
    <w:p>
      <w:r>
        <w:t xml:space="preserve"> </w:t>
      </w:r>
    </w:p>
    <w:p>
      <w:pPr>
        <w:pStyle w:val="Heading2"/>
      </w:pPr>
      <w:r>
        <w:t>Title</w:t>
      </w:r>
    </w:p>
    <w:p>
      <w:r>
        <w:t>Poststructuralist feminist qualitative analysis of social disability in female early marriage in Nigeria using literary and multilingual field data</w:t>
      </w:r>
    </w:p>
    <w:p>
      <w:r>
        <w:t xml:space="preserve"> </w:t>
      </w:r>
    </w:p>
    <w:p>
      <w:pPr>
        <w:pStyle w:val="Heading2"/>
      </w:pPr>
      <w:r>
        <w:t>Short Hypothesis</w:t>
      </w:r>
    </w:p>
    <w:p>
      <w:r>
        <w:t>When discursive markers that frame marriage as destiny co-occur with disability metaphors in text and interview data, they cause lower attributed female agency and are associated with reported reductions in married girls' access to education.</w:t>
      </w:r>
    </w:p>
    <w:p>
      <w:r>
        <w:t xml:space="preserve"> </w:t>
      </w:r>
    </w:p>
    <w:p>
      <w:pPr>
        <w:pStyle w:val="Heading2"/>
      </w:pPr>
      <w:r>
        <w:t>Related Work</w:t>
      </w:r>
    </w:p>
    <w:p>
      <w:r>
        <w:t>Existing work includes poststructuralist feminist literary readings that analyze how discourse shapes gendered subjectivity, social-model disability studies that locate disablement in social barriers rather than bodies, and mixed qualitative studies linking cultural narratives to child marriage practices. Applied methods have used thematic and discourse coding with software tools such as NVivo or Atlas.ti (programs that help label and search text). Limitations in current approaches are: weak integration between literary analysis and cross-regional ethnographic data; sparse attention to social disability indicators like access barriers and stigma in coding frames; limited multilingual translation validation for proverbs and idioms; insufficient trauma-informed and accessibility practices in field designs; and few studies that map findings to state-level legal and IRB requirements. These gaps reduce comparability across regions and raise risks of misinterpreting culturally specific metaphors and safety needs.</w:t>
      </w:r>
    </w:p>
    <w:p>
      <w:r>
        <w:t xml:space="preserve"> </w:t>
      </w:r>
    </w:p>
    <w:p>
      <w:pPr>
        <w:pStyle w:val="Heading2"/>
      </w:pPr>
      <w:r>
        <w:t>Abstract</w:t>
      </w:r>
    </w:p>
    <w:p>
      <w:r>
        <w:t>This project studies how social constructions of disability intersect with female early marriage in Nigeria by reading the novel Not That Woman alongside multilingual field data. Using a poststructuralist feminist lens, the study operationalizes discursive nodes such as marriage-as-destiny, performative consent, biopolitics, and social-disability (access-barriers, stigma-language, disability-metaphors). The approach combines systematic qualitative coding of the novel with 36-45 in-depth interviews and 6 focus groups across Hausa, Yoruba, and Igbo regions, plus stakeholder interviews. Translation validation (forward and blind back-translation) and coder calibration support cross-language fidelity. Main contributions are: a reproducible codebook linking literary discourse to lived social-disablement, a validated translation glossary of disability proverbs, and empirical evidence of how discursive co-occurrence predicts lowered agency and educational exclusion. Expected outcomes include robust analytic artifacts for comparative interpretation, clear metrics for saturation and coder reliability, and field-ready protocols that inform policy and community engagement.</w:t>
      </w:r>
    </w:p>
    <w:p>
      <w:r>
        <w:t xml:space="preserve"> </w:t>
      </w:r>
    </w:p>
    <w:p>
      <w:pPr>
        <w:pStyle w:val="Heading2"/>
      </w:pPr>
      <w:r>
        <w:t>Experiments</w:t>
      </w:r>
    </w:p>
    <w:p>
      <w:r>
        <w:t>Datasets: (1) Primary text: full text of Not That Woman; (2) Field corpus: 36-45 semi-structured in-depth interviews (12-15 per region: Hausa, Yoruba, Igbo), 6 focus group discussions (2 per region, gender-segregated), and 8 stakeholder interviews; all audio, verbatim transcription, and translations. Translation validation: two independent forward translators per language, blind back-translation, reconciliation meeting, proverb glossary with audio anchors. Baselines: A) literary-only coding, B) combined coding without social-disability nodes, C) combined coding without translation validation. Coding: apply the codebook in NVivo or Atlas.ti; double-code 25% of transcripts. Evaluation metrics: inter-coder reliability measured by Cohen's kappa (statistic of agreement; 1 means perfect agreement, 0 means chance), code-coverage curves for saturation (plot cumulative new codes vs interviews), co-occurrence frequency of nodes, and predictive association between co-occurrence and reported education access using logistic regression on coded indicators. Experimental setup: 1) Train coders on codebook, conduct double-coding and compute kappa; 2) Run analyses comparing baselines A-C on kappa, co-occurrence counts, and model fit; 3) Ablation study removing social-disability nodes to measure change in predictive association magnitude; 4) Sensitivity test comparing results with and without back-translation items. Reporting: confidence intervals for kappa, p-values for logistic regression, and plots of code-coverage curves.</w:t>
      </w:r>
    </w:p>
    <w:p>
      <w:r>
        <w:t xml:space="preserve"> </w:t>
      </w:r>
    </w:p>
    <w:p>
      <w:pPr>
        <w:pStyle w:val="Heading2"/>
      </w:pPr>
      <w:r>
        <w:t>Risk Factors And Limitations</w:t>
      </w:r>
    </w:p>
    <w:p>
      <w:r>
        <w:t>Ethical/legal risk: mandatory-reporting laws vary by state and may force action that affects participant trust; IRB constraints may limit minor participation. Data bias: purposive sampling and small regional cells may not represent wider Nigerian diversity. Translation risk: idioms and proverbs may be mistranslated or lose pragmatic meaning, causing analytic errors. Re-identification: detailed contextual quotes in small communities raise risk of identifying participants. Researcher safety: fieldwork may provoke backlash or threats. Measurement limits: qualitative codes reduce complex meanings to labels, risking oversimplification. Statistical limits: logistic regression on coded indicators may yield low power if cell Ns are small. Generalization: findings tied to one novel and three regions may not apply across Nigeria or other literary works. Technical constraints: transcription and encryption require funds; failures in secure storage or key management could compromise data. Scalability: intensive translation and double-coding limit rapid scaling to more regions.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