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jordan_constit_review_comparative</w:t>
      </w:r>
    </w:p>
    <w:p>
      <w:r>
        <w:t xml:space="preserve"> </w:t>
      </w:r>
    </w:p>
    <w:p>
      <w:pPr>
        <w:pStyle w:val="Heading2"/>
      </w:pPr>
      <w:r>
        <w:t>Title</w:t>
      </w:r>
    </w:p>
    <w:p>
      <w:r>
        <w:t>Comparative empirical analysis of constitutional review in Jordan after 2011 amendments: effects on invalidation, enforcement, and political salience</w:t>
      </w:r>
    </w:p>
    <w:p>
      <w:r>
        <w:t xml:space="preserve"> </w:t>
      </w:r>
    </w:p>
    <w:p>
      <w:pPr>
        <w:pStyle w:val="Heading2"/>
      </w:pPr>
      <w:r>
        <w:t>Short Hypothesis</w:t>
      </w:r>
    </w:p>
    <w:p>
      <w:r>
        <w:t>The 2011 establishment of a Constitutional Court in Jordan caused an increase in the probability that contested laws are invalidated, controlling for case subject, petitioner type, and political salience.</w:t>
      </w:r>
    </w:p>
    <w:p>
      <w:r>
        <w:t xml:space="preserve"> </w:t>
      </w:r>
    </w:p>
    <w:p>
      <w:pPr>
        <w:pStyle w:val="Heading2"/>
      </w:pPr>
      <w:r>
        <w:t>Related Work</w:t>
      </w:r>
    </w:p>
    <w:p>
      <w:r>
        <w:t>Existing comparative work on constitutional review combines doctrinal description, case studies, and small-N comparisons across countries with different review models (judicial review, constitutional courts, advisory systems). Empirical legal studies in other systems measure invalidation rates, decision times, and compliance, but typically rely on well-digitized corpora (e.g., U.S., France) and rarely address hybrid monarchic systems with recent institutional change. Prior methods often lack standardized bilingual corpora, systematic coding rules for political salience, and reproducible OCR-to-analysis pipelines. For Jordan and similar regional cases there is limited large-scale, machine-readable data, insufficient operationalization of informal political variables, and few pre-registered quantitative tests of institutional change effects. These gaps limit causal claims about how introducing a constitutional court changes outcomes and enforcement in politically hybrid settings.</w:t>
      </w:r>
    </w:p>
    <w:p>
      <w:r>
        <w:t xml:space="preserve"> </w:t>
      </w:r>
    </w:p>
    <w:p>
      <w:pPr>
        <w:pStyle w:val="Heading2"/>
      </w:pPr>
      <w:r>
        <w:t>Abstract</w:t>
      </w:r>
    </w:p>
    <w:p>
      <w:r>
        <w:t>This study evaluates how the 2011 constitutional amendments that created a Constitutional Court changed judicial oversight of law in Jordan. We build a bilingual, coded corpus of constitutional questions in Jordanian courts, official gazettes, parliamentary records, and media reports for 2010–2026, and compare patterns to selected cases from the United States, France, and Egypt. At a high level, we measure outcomes (invalidation, partial invalidation, uphold), time-to-decision, and compliance within fixed windows. The main contribution is a reproducible empirical test of whether establishing a Constitutional Court increased invalidation rates and altered enforcement behavior, while explicitly modeling political salience, petitioner type, and emergency periods. Expected outcomes include quantified effect estimates of the institutional change, a validated bilingual dataset and codebook, and policy-relevant findings on how formal judicial institutions interact with political context in hybrid regimes.</w:t>
      </w:r>
    </w:p>
    <w:p>
      <w:r>
        <w:t xml:space="preserve"> </w:t>
      </w:r>
    </w:p>
    <w:p>
      <w:pPr>
        <w:pStyle w:val="Heading2"/>
      </w:pPr>
      <w:r>
        <w:t>Experiments</w:t>
      </w:r>
    </w:p>
    <w:p>
      <w:r>
        <w:t>Datasets: (1) Jordan corpus: Official Gazette laws and royal decrees, Constitutional Court decisions (post-2011), Court of Cassation and State Council rulings (2010–2026), parliamentary minutes, and national media (Al-Rai, Al-Ghad, The Jordan Times). Two sampling scenarios: Targeted N=500 stratified cases; Comprehensive N=2,000. Data format: TEI-XML with Arabic originals + English headnotes. (2) Comparator samples: stratified samples of constitutional review decisions from US (judicial review), France (constitutional council practice), and Egypt (regional comparator), matched by subject-matter strata. Baselines: pre-2011 Jordan (2010–2011) outcomes; comparator jurisdictions' invalidation rates. Preprocessing: high-quality OCR (Arabic-trained Tesseract/ABBYY), LLM-assisted cleanup with logged edits, bilingual headnoting, intercoder double-coding for 20% initial sample. Evaluation metrics: invalidation rate (share of cases invalidated), odds ratios from logistic regression, median time-to-decision (days), compliance rate within 12 months (binary), Cox proportional hazards for time-to-enforcement, intercoder reliability (Cohen's kappa), OCR character error rate (CER). Experimental setup: Stratified random sampling by court, period, subject matter, and political salience. Primary test: logistic regression of invalidation ~ post2011_flag + petitioner_type + subject + salience + emergency_flag + period fixed effects; report marginal effects and 95% CI. Secondary test: interrupted time-series or difference-in-differences (DiD) using comparator series where valid; check parallel trends assumption. Ablations: (A) drop political salience variable to measure bias from omitting informal politics; (B) compare results using Targeted N=500 vs Comprehensive N=2,000; (C) vary OCR quality threshold (CER cutoffs) to assess coding sensitivity to text errors. Robustness: alternative coding of mixed holdings (highest invalidation vs majority rule) and use of Benjamini-Hochberg false discovery rate for multiple tests. Reproducibility artifacts: containerized pipeline (Dockerfile), repo with OCR-&gt;TEI-&gt;analysis scripts, and machine-readable codebook.</w:t>
      </w:r>
    </w:p>
    <w:p>
      <w:r>
        <w:t xml:space="preserve"> </w:t>
      </w:r>
    </w:p>
    <w:p>
      <w:pPr>
        <w:pStyle w:val="Heading2"/>
      </w:pPr>
      <w:r>
        <w:t>Risk Factors And Limitations</w:t>
      </w:r>
    </w:p>
    <w:p>
      <w:r>
        <w:t>Technical failures: OCR for Arabic legal text may yield high character error rates affecting downstream coding; LLM-assisted edits can introduce silent changes if not logged. Data biases: archival access restrictions or redaction create selection bias; media-based salience measures favor high-profile cases and may skew results. Causal inference limits: pre/post comparison risks confounding by contemporaneous political events; comparator jurisdictions differ institutionally, limiting DiD validity. Measurement limits: enforcement measured at 12 months misses long-term compliance patterns; coding of informal political alignment is noisy and subjective. Scalability and compute: large-scale OCR and manual headnoting require substantial time and budget; limited compute for repeated OCR retraining may slow iterations. Generalization limits: findings from Jordan’s hybrid monarchy may not generalize to full democracies or to authoritarian regimes with different informal enforcement channels. Ethical/legal constraints: custodian-imposed publication restrictions may limit release of key documents and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