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jordan_daesh_threat_analysis</w:t>
      </w:r>
    </w:p>
    <w:p>
      <w:r>
        <w:t xml:space="preserve"> </w:t>
      </w:r>
    </w:p>
    <w:p>
      <w:pPr>
        <w:pStyle w:val="Heading2"/>
      </w:pPr>
      <w:r>
        <w:t>Title</w:t>
      </w:r>
    </w:p>
    <w:p>
      <w:r>
        <w:t>Causal mixed-methods analysis using spatial panel and text-derived exposure indices to measure Daesh's threat and recruitment effects on Jordanian security (2003–2017)</w:t>
      </w:r>
    </w:p>
    <w:p>
      <w:r>
        <w:t xml:space="preserve"> </w:t>
      </w:r>
    </w:p>
    <w:p>
      <w:pPr>
        <w:pStyle w:val="Heading2"/>
      </w:pPr>
      <w:r>
        <w:t>Short Hypothesis</w:t>
      </w:r>
    </w:p>
    <w:p>
      <w:r>
        <w:t>Participation in state rehabilitation programs causes a reduction in the hazard of violent reoffending among formerly detained Jordanian citizens within 36 months after release.</w:t>
      </w:r>
    </w:p>
    <w:p>
      <w:r>
        <w:t xml:space="preserve"> </w:t>
      </w:r>
    </w:p>
    <w:p>
      <w:pPr>
        <w:pStyle w:val="Heading2"/>
      </w:pPr>
      <w:r>
        <w:t>Related Work</w:t>
      </w:r>
    </w:p>
    <w:p>
      <w:r>
        <w:t>Prior work combines qualitative case studies, descriptive security reports, and event-dataset analyses (national incident counts, open-source databases) to study Daesh and Jordan. Quantitative studies commonly use simple panel regressions or difference-in-differences (DID) to estimate policy effects, while qualitative work uses interviews and discourse analysis. Limitations include weak handling of spatial interference (spillovers between regions), limited use of validated Arabic text corpora for exposure measurement, inconsistent reconciliation of multiple event sources (ACLED, GTD, state media), underreporting bias, and scarce pre-registered identification strategies (instruments or discontinuities). Existing approaches often ignore staggered/adoptive treatment bias in DID, lack formal sensitivity analyses for unmeasured confounding, and rarely provide reproducible MDE (minimum detectable effect) tables per administrative unit.</w:t>
      </w:r>
    </w:p>
    <w:p>
      <w:r>
        <w:t xml:space="preserve"> </w:t>
      </w:r>
    </w:p>
    <w:p>
      <w:pPr>
        <w:pStyle w:val="Heading2"/>
      </w:pPr>
      <w:r>
        <w:t>Abstract</w:t>
      </w:r>
    </w:p>
    <w:p>
      <w:r>
        <w:t>This study tests whether state rehabilitation programs reduced violent reoffending among formerly detained Jordanian citizens from 2003–2017 and situates that causal test within a broader mixed-methods assessment of Daesh's transnational threat to Jordan. We combine geocoded governorate-level incident panels, custodial and court records (de-identified), UNHCR/UN registers, and a quality-controlled Arabic corpus of propaganda and sermons. Core methods are spatial panel models (to capture spillovers), robust DID/synthetic-control designs for staggered/adoptive policies, and survival (Cox) models for individual hazards. Text-derived exposure indices (propaganda reach and network centrality) feed into causal models as moderators. Main contributions are: (1) pre-registered, spatially-aware identification strategies for policy evaluation, (2) validated Arabic exposure measures with coder QC, and (3) reproducible governorate-level MDE simulations and sensitivity analyses for unmeasured confounding and underreporting. Expected outcome: transparent, policy-relevant estimates of rehabilitation program effects and a replicable pipeline linking Arabic discourse to security outcomes.</w:t>
      </w:r>
    </w:p>
    <w:p>
      <w:r>
        <w:t xml:space="preserve"> </w:t>
      </w:r>
    </w:p>
    <w:p>
      <w:pPr>
        <w:pStyle w:val="Heading2"/>
      </w:pPr>
      <w:r>
        <w:t>Experiments</w:t>
      </w:r>
    </w:p>
    <w:p>
      <w:r>
        <w:t>Datasets: (1) De-identified custodial records (Correctional &amp; Rehabilitation Bureau) with release dates and program participation; (2) Public Security Directorate arrest records and Ministry of Justice court outcomes (de-identified); (3) Governorate-level panels (2003–2017) from ACLED, GTD, UNHCR refugee counts, state media archives (Petra, Al-Rai); (4) Arabic corpus (news, Daesh propaganda, mosque sermons, social-media posts) annotated with topic, call-to-action, dialect; (5) Geospatial layers: borders, camps, prisons, rehabilitation centers. Baselines: (A) unmatched negative-binomial DID without spatial terms; (B) propensity-score matched Cox model; (C) naive logistic regression for recidivism. Primary estimands and models: IRR from negative-binomial spatial-lag/ spatial-error panel (spatial models capture interference; spatial lag models include outcome dependence across neighbors, spatial error models capture correlated shocks), and hazard ratios from Cox proportional-hazards with shared frailty by governorate (frailty = random effect for cluster). Estimation details: governorate×year fixed effects, population offsets, clustered SEs by governorate. Evaluation metrics: hazard ratio (HR) with 95% CI, incidence-rate ratio (IRR), classifier AUC (area under ROC) for text classifiers, ICC (inter-coder reliability) for annotations, Brier score for calibration, and coverage of 95% CIs in simulation. Sensitivity and robustness: E-values (simple measure of unmeasured confounding strength), Rosenbaum bounds, capture–recapture estimates for underreporting, and simulations with differential reporting rates. Experimental setup: pre-register analysis; split annotated text 70/15/15 (train/val/test); train text classifiers to derive exposure indices (target AUC&gt;=0.85); build composite exposure index by factor analysis; run main causal models with and without the exposure index. Comparisons and ablations: (1) full model vs. model without Arabic exposure index (test mediator/moderator role); (2) spatial-lag vs. spatial-error vs. no-spatial models (test interference handling); (3) standard DID vs. staggered-adoption-robust DID (stacked DID or Sun &amp; Abraham/event-study decomposition) to compare bias; (4) analyses using ACLED-only, GTD-only, and harmonized multi-source panels (test underreporting effects). Deliverables: governorate-level MDE tables with simulation code, pre-registered specifications, and sensitivity-analysis outputs.</w:t>
      </w:r>
    </w:p>
    <w:p>
      <w:r>
        <w:t xml:space="preserve"> </w:t>
      </w:r>
    </w:p>
    <w:p>
      <w:pPr>
        <w:pStyle w:val="Heading2"/>
      </w:pPr>
      <w:r>
        <w:t>Risk Factors And Limitations</w:t>
      </w:r>
    </w:p>
    <w:p>
      <w:r>
        <w:t>Data access: custodial and intelligence data may be delayed, restricted, or unavailable; analysis may rely on aggregated proxies. Underreporting and measurement bias: event datasets differ (ACLED vs. GTD vs. state media), causing inconsistent counts and biased estimates. Spatial interference: models may mis-specify spillovers if networks across governorates are incomplete. Identification limits: candidate instruments or discontinuities may be weak or fail exclusion restrictions, reducing causal credibility. Text measurement: Arabic dialects, transcription errors, and low-quality social-media archives can reduce classifier accuracy and increase misclassification. Small-sample power: some governorates have sparse events, yielding wide CIs and large minimum detectable effects. Ethical/legal constraints: classified data impose disclosure limits and may prevent full replication; differential privacy or k-anonymity can reduce result precision. Computation and reproducibility: spatial simulations and Bayesian sensitivity models require moderate compute; limited compute slows iterations. Generalization: results apply to Jordan 2003–2017 and may not generalize to other countries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