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beyond_detection_student_ai_use</w:t>
      </w:r>
    </w:p>
    <w:p>
      <w:r>
        <w:t xml:space="preserve"> </w:t>
      </w:r>
    </w:p>
    <w:p>
      <w:pPr>
        <w:pStyle w:val="Heading2"/>
      </w:pPr>
      <w:r>
        <w:t>Title</w:t>
      </w:r>
    </w:p>
    <w:p>
      <w:r>
        <w:t>Bayesian latent-class psychometric analysis of student use and concealment of generative AI in online assessments</w:t>
      </w:r>
    </w:p>
    <w:p>
      <w:r>
        <w:t xml:space="preserve"> </w:t>
      </w:r>
    </w:p>
    <w:p>
      <w:pPr>
        <w:pStyle w:val="Heading2"/>
      </w:pPr>
      <w:r>
        <w:t>Short Hypothesis</w:t>
      </w:r>
    </w:p>
    <w:p>
      <w:r>
        <w:t>Replacing standard open-ended prompts with authentic, data-based tasks and staged artifact requirements causes a lower rate of undisclosed AI-generated submissions than standard prompts within the same student population.</w:t>
      </w:r>
    </w:p>
    <w:p>
      <w:r>
        <w:t xml:space="preserve"> </w:t>
      </w:r>
    </w:p>
    <w:p>
      <w:pPr>
        <w:pStyle w:val="Heading2"/>
      </w:pPr>
      <w:r>
        <w:t>Related Work</w:t>
      </w:r>
    </w:p>
    <w:p>
      <w:r>
        <w:t>Existing approaches fall into two broad groups: detection-focused classifiers (stylometric features, transformer embeddings) and assessment redesign (authentic tasks, staged submissions). Detection classifiers can identify some AI outputs using style and semantic features, but they are brittle to paraphrasing, back-translation, and other camouflage techniques and often show higher false-positive rates for non-native speakers and students with disabilities. Process-tracing methods (keystroke dynamics, revision logs) add behavioral signals but face consent, privacy, and missingness challenges. Psychometric methods (IRT, DIF analyses) measure score fairness across groups but are rarely integrated with detection models. Privacy-preserving sharing (synthetic data, differential privacy) exists but often trades utility for privacy without clear utility evaluations. Human-in-the-loop review workflows are recommended but under-specified. Limitations across prior work include lack of joint psychometric–detection validation, inadequate adversarial testing, insufficient subgroup fairness controls, and weak reproducibility/privacy protocols.</w:t>
      </w:r>
    </w:p>
    <w:p>
      <w:r>
        <w:t xml:space="preserve"> </w:t>
      </w:r>
    </w:p>
    <w:p>
      <w:pPr>
        <w:pStyle w:val="Heading2"/>
      </w:pPr>
      <w:r>
        <w:t>Abstract</w:t>
      </w:r>
    </w:p>
    <w:p>
      <w:r>
        <w:t>We study how students use and hide generative AI in online assessments and whether authentic, data-based tasks reduce undisclosed AI use. We combine a Bayesian latent-class psychometric model (a statistical model that represents student ability and a hidden class for AI-use) with multimodal detection features (text style, semantic embeddings, and process logs like revision density). The core contribution is an integrated pipeline that (1) detects likely AI-origin via posterior probabilities, (2) evaluates measurement invariance and item bias across language and disability groups using DIF (differential item functioning) analyses, and (3) tests authentic-task designs that require drafts, data artifacts, and brief oral defenses. We also provide adversarial camouflage suites, subgroup fairness metrics (ΔFPR, equalized odds), and a reproducible privacy plan including differential privacy for public derivatives. Expected outcomes are: measurable reduction in undisclosed AI submissions under authentic tasks, calibrated detection with bounded subgroup false-positive rates, and a set of auditable procedures for deployment in higher education.</w:t>
      </w:r>
    </w:p>
    <w:p>
      <w:r>
        <w:t xml:space="preserve"> </w:t>
      </w:r>
    </w:p>
    <w:p>
      <w:pPr>
        <w:pStyle w:val="Heading2"/>
      </w:pPr>
      <w:r>
        <w:t>Experiments</w:t>
      </w:r>
    </w:p>
    <w:p>
      <w:r>
        <w:t>Datasets: Multi-site collection of N = 2,000–4,000 student submissions across at least 3 institutions; ensure strata n ≥ 300 for L1 vs L2, disability vs no-disability, and three genres (essay, data-analysis, coding). Include consented process logs for a subset; collect adversarial camouflage sets with ≥500 examples per camouflage type (paraphrase, back-translation, incremental edits). Baselines: (A) stylometric classifier (n-gram + function-word features + logistic/RandomForest), (B) transformer-embedding classifier (fine-tuned classifier), (C) process-only model (keystroke/revision features), (D) detection-only pipeline without psychometric integration, (E) authentic-task without detection. Model: Bayesian hierarchical 2PL IRT with latent-class for AI-use: P(y_ij=1|θ_i,a_j,b_j)=logistic(a_j(θ_i−b_j)), θ_i|z_i=k~Normal(μ_k,σ_k), z_i~Categorical(π); detection regression features→P(AI) with β~Normal(0,1). Software: CmdStanR or PyMC4; containerize with Docker. Priors: θ~Normal(0,1), a_j~LogNormal(0,0.25), b_j~Normal(0,1). MCMC diagnostics: R̂&lt;1.01, ESS&gt;200, zero divergences. Evaluation metrics: sensitivity and specificity, overall FPR and FPR by subgroup, ΔFPR (max difference across groups), AUC, precision–recall, Brier score (calibration), equalized odds (TPR parity), predictive parity (PPV parity), DIF effect sizes and Bayes posterior probability of DIF&gt;0.90, person-fit (posterior predictive p-value). Experimental setup: pre-register analysis, split held-out site(s) for external validation; run ablations removing (1) process features, (2) subgroup calibration, (3) authentic-task components. Also evaluate detector robustness on adversarial suites and report sensitivity degradation curves. Differential privacy evaluation: generate synthetic derivatives with PrivBayes/DP-GAN and measure utility (AUC, Brier) at ε ∈ {0.5,1,2,4,8,10}. Human-review simulation: compute reviewer workload given flag thresholds (P(AI)≥0.95 immediate review, 0.80–0.95 secondary request) and measure interrater reliability (G-coefficient or ICC) with two raters + adjudication.</w:t>
      </w:r>
    </w:p>
    <w:p>
      <w:r>
        <w:t xml:space="preserve"> </w:t>
      </w:r>
    </w:p>
    <w:p>
      <w:pPr>
        <w:pStyle w:val="Heading2"/>
      </w:pPr>
      <w:r>
        <w:t>Risk Factors And Limitations</w:t>
      </w:r>
    </w:p>
    <w:p>
      <w:r>
        <w:t>Consent and missingness: high opt-out rates for process logging can bias estimates and reduce effective subgroup sizes below n=300, limiting DIF power. Adversarial robustness: paraphrasing, translation, and staged polishing may greatly reduce detector sensitivity. Fairness limits: linguistic and disability-related writing differences can produce higher false positives for protected groups; tradeoffs between sensitivity and subgroup FPR parity may be unavoidable. Privacy–utility tradeoff: strong differential privacy (low ε) will reduce utility of synthetic releases and may degrade model calibration. Compute and scalability: Bayesian hierarchical models with MCMC at scale and frequent recalibration are compute intensive. Generalization: models trained on sampled institutions, languages, or disciplines may not generalize to new sites or rapidly changing LLM outputs. Human costs: human review workload and training needs may be underestimated, and false positives can cause real harms despite review safeguards. Legal/jurisdictional constraints: FERPA/GDPR requirements may restrict data collection, sharing, or acceptable DP budgets in some sites.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