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school_community_partnerships_trial</w:t>
      </w:r>
    </w:p>
    <w:p>
      <w:r>
        <w:t xml:space="preserve"> </w:t>
      </w:r>
    </w:p>
    <w:p>
      <w:pPr>
        <w:pStyle w:val="Heading2"/>
      </w:pPr>
      <w:r>
        <w:t>Title</w:t>
      </w:r>
    </w:p>
    <w:p>
      <w:r>
        <w:t>Cluster randomized trial of a braided-funding community–school partnership intervention to reduce chronic absenteeism</w:t>
      </w:r>
    </w:p>
    <w:p>
      <w:r>
        <w:t xml:space="preserve"> </w:t>
      </w:r>
    </w:p>
    <w:p>
      <w:pPr>
        <w:pStyle w:val="Heading2"/>
      </w:pPr>
      <w:r>
        <w:t>Short Hypothesis</w:t>
      </w:r>
    </w:p>
    <w:p>
      <w:r>
        <w:t>Schools randomized to a braided-funding, embedded community-school coordinator intervention with standardized privacy-preserving data-sharing will have lower student chronic absenteeism (missing ≥10% of days) at 12 months than control schools, with an effect size of at least 0.25 standardized units.</w:t>
      </w:r>
    </w:p>
    <w:p>
      <w:r>
        <w:t xml:space="preserve"> </w:t>
      </w:r>
    </w:p>
    <w:p>
      <w:pPr>
        <w:pStyle w:val="Heading2"/>
      </w:pPr>
      <w:r>
        <w:t>Related Work</w:t>
      </w:r>
    </w:p>
    <w:p>
      <w:r>
        <w:t>Prior work established collaborative community school frameworks that combine school services, community-based organizations, and family engagement to address student needs. Other studies emphasize arts integration, data-driven governance, and privacy-aware data systems. Limitations across existing approaches include weak causal evidence (few randomized trials), small or non-representative samples, inconsistent measurement of social-emotional and partnership outcomes, limited standardized fidelity metrics, unclear role definitions for coordinators, and ad hoc data governance that raises privacy and linkage reliability concerns. Existing privacy-preserving record linkage (PPRL) methods trade off deterministic precision for probabilistic recall, and few interventions report empirical validation of linkage performance. Funding and sustainability work often lacks operational braided-funding templates tied to measurable governance outcomes. These gaps leave unresolved questions about causal impact, which intervention components drive effects, how to measure partnership functioning consistently, and how to implement secure, reproducible data linkage at scale.</w:t>
      </w:r>
    </w:p>
    <w:p>
      <w:r>
        <w:t xml:space="preserve"> </w:t>
      </w:r>
    </w:p>
    <w:p>
      <w:pPr>
        <w:pStyle w:val="Heading2"/>
      </w:pPr>
      <w:r>
        <w:t>Abstract</w:t>
      </w:r>
    </w:p>
    <w:p>
      <w:r>
        <w:t>This study tests whether a coordinated school–community partnership model reduces chronic absenteeism. The intervention bundles three core components: braided funding governance (pooled local and program funds), an embedded community-school coordinator role, and standardized, privacy-preserving data-sharing protocols. We evaluate the model using a cluster randomized design across multiple pilot sites, measuring attendance as the primary outcome and academic achievement, SEL, service utilization, family engagement, and partnership functioning as secondary outcomes. The main contribution is an integrated, replicable package: a theory of change, a short validated measurement battery, an explicit fidelity and adaptation taxonomy, power/MDES matrices, and operational data-governance workflows including PPRL validation. Expected outcomes are a measurable reduction in chronic absenteeism and improved partnership functioning that are robust across diverse contexts. The study will produce public analysis scripts and pre-specified analysis plans to support reproducibility and inform scaling decisions for districts and community partners.</w:t>
      </w:r>
    </w:p>
    <w:p>
      <w:r>
        <w:t xml:space="preserve"> </w:t>
      </w:r>
    </w:p>
    <w:p>
      <w:pPr>
        <w:pStyle w:val="Heading2"/>
      </w:pPr>
      <w:r>
        <w:t>Experiments</w:t>
      </w:r>
    </w:p>
    <w:p>
      <w:r>
        <w:t>Datasets: school information system (SIS) administrative records (daily attendance, demographics, enrollment), standardized test score composites, SEL survey (DESSA-SF short form), parent engagement survey (adapted FIQ), partnership functioning survey (PSAT/Wilder), service referral logs, and geospatial asset maps. Baselines: usual practice control schools receiving no new coordinated partnership supports. Design: primary design is a cluster randomized trial (CRT) with schools randomized to intervention or control; alternative designs for sites with constraints include stepped-wedge and regression discontinuity. Sample specification example: 30 schools total (15 intervention, 15 control), average 300 students/school. ICC assumptions: absenteeism ICC 0.05–0.10, test scores ICC 0.12–0.18. Power target: detect MDES ≈0.25 for primary outcome at 80% power, alpha=0.05. Primary metric: change in proportion of students with chronic absenteeism (binary indicator missing ≥10% of days). Secondary metrics: standardized test score change (continuous), SEL score change (continuous), service referral completion rate (binary), partnership functioning scale (continuous), arts outcomes (rubric scores). Analysis: primary estimand — intention-to-treat (ITT) effect estimated with mixed-effects generalized linear models (GLMM) with school random effects; cluster-robust standard errors; covariates: baseline absenteeism rate, %FRPL, baseline test scores, urbanicity; stratified randomization on baseline absenteeism band and district. Secondary estimand — complier average causal effect (CACE) using instrumental variables (assignment as instrument). Missing data: primary approach multiple imputation (MI) under missing-at-random and sensitivity via inverse-probability weighting (IPW). Multiple comparisons: control secondary-family false discovery rate with Benjamini–Hochberg; report Bonferroni bounds. PPRL validation: reserve a ground-truth validation sample to report deterministic HMAC match precision/recall and Bloom-filter match precision/recall; report match ROC and calibration. Ablation study: three-arm comparison in a subset of pilots — full intervention, intervention without standardized data-sharing (no PPRL), and control — to isolate the contribution of the data-sharing component. Fidelity measurement: compute percent of core activities delivered per school each quarter; classify High≥80%, Moderate 60–79%, Low&lt;60%; interim analyses at 12 and 24 months. Pre-registration: publish randomization algorithm, primary contrast, estimands (ITT, CACE), analysis code, and power tables with ICC bands.</w:t>
      </w:r>
    </w:p>
    <w:p>
      <w:r>
        <w:t xml:space="preserve"> </w:t>
      </w:r>
    </w:p>
    <w:p>
      <w:pPr>
        <w:pStyle w:val="Heading2"/>
      </w:pPr>
      <w:r>
        <w:t>Risk Factors And Limitations</w:t>
      </w:r>
    </w:p>
    <w:p>
      <w:r>
        <w:t>Data access delays or failed data agreements that block baseline or follow-up administrative data. Privacy risks including re-identification from linked datasets and vulnerability to Bloom-filter attacks; empirical PPRL match precision or recall may be lower than assumed. Contamination and spillover between treatment and control schools reducing detectable effects. Low fidelity or coordinator turnover causing attenuated treatment exposure. Sample size limits or high ICCs reducing power for primary and subgroup analyses. Measurement bias from parent or teacher surveys (nonresponse, social desirability). Generalization limits: pilots may not represent all district types or policy environments. Funding and sustainability constraints that prevent continuation into Year 3 and limit observation of long-term outcomes. Analytic limits from missing not at random (MNAR) data that invalidate MI or IPW assumptions. Computational limits for secure enclave operations in small partners with limited IT capacity.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