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chatgpt_efl_cluster_rct</w:t>
      </w:r>
    </w:p>
    <w:p>
      <w:r>
        <w:t xml:space="preserve"> </w:t>
      </w:r>
    </w:p>
    <w:p>
      <w:pPr>
        <w:pStyle w:val="Heading2"/>
      </w:pPr>
      <w:r>
        <w:t>Title</w:t>
      </w:r>
    </w:p>
    <w:p>
      <w:r>
        <w:t>Cluster-randomized mixed-methods trial evaluating structured ChatGPT-supported instruction for improving CEFR-aligned English as a foreign language speaking and writing</w:t>
      </w:r>
    </w:p>
    <w:p>
      <w:r>
        <w:t xml:space="preserve"> </w:t>
      </w:r>
    </w:p>
    <w:p>
      <w:pPr>
        <w:pStyle w:val="Heading2"/>
      </w:pPr>
      <w:r>
        <w:t>Short Hypothesis</w:t>
      </w:r>
    </w:p>
    <w:p>
      <w:r>
        <w:t>Structured ChatGPT-supported instruction with teacher scaffolding causes greater pre-to-post gains in a CEFR-aligned composite speaking-and-writing score than standard instruction without ChatGPT, with an effect size of at least d = 0.5.</w:t>
      </w:r>
    </w:p>
    <w:p>
      <w:r>
        <w:t xml:space="preserve"> </w:t>
      </w:r>
    </w:p>
    <w:p>
      <w:pPr>
        <w:pStyle w:val="Heading2"/>
      </w:pPr>
      <w:r>
        <w:t>Related Work</w:t>
      </w:r>
    </w:p>
    <w:p>
      <w:r>
        <w:t>Prior work shows that generative AI and large language models can augment EFL teaching by providing automated feedback, practice opportunities, and individualized language prompts. Reported benefits include increased practice volume and learner engagement, while recurring concerns include reduced critical thinking, hallucinated (incorrect) model output, and unequal effects across learner groups. Methodological gaps in existing studies include: predominantly small-scale or uncontrolled designs (few cluster-randomized trials), limited use of CEFR-aligned validated outcome measures, inadequate rater calibration and reliability reporting, poor logging of prompt and model-version metadata (which prevents replication and drift detection), weak contamination and fidelity monitoring, and scarce mixed-methods mediation analyses linking perceptions to outcomes. Work that relies on synthetic prompts or single-site pilots often fails to validate generalization across proficiency bands (A2–B2) and model updates. Overall, unresolved issues are robust causal inference at classroom scale, reproducible handling of model drift and PII risk, and fairness/DIF analysis with limited subgroup sizes.</w:t>
      </w:r>
    </w:p>
    <w:p>
      <w:r>
        <w:t xml:space="preserve"> </w:t>
      </w:r>
    </w:p>
    <w:p>
      <w:pPr>
        <w:pStyle w:val="Heading2"/>
      </w:pPr>
      <w:r>
        <w:t>Abstract</w:t>
      </w:r>
    </w:p>
    <w:p>
      <w:r>
        <w:t>We evaluate whether a structured instructional protocol that integrates ChatGPT with explicit teacher scaffolding improves English-as-a-foreign-language (EFL) speaking and writing measured with CEFR-aligned analytic rubrics. Using a cluster-randomized mixed-methods design across A2–B2 bands, classes are assigned to (1) standard instruction, (2) unstructured ChatGPT use, or (3) structured ChatGPT-supported lessons with teacher scaffolds and fidelity checks. Primary outcome is a pre-registered composite (50% writing, 50% speaking) scored by trained raters. Process data include chat logs, automated interaction features (e.g., feedback type), and surveys on learner trust and perceived feedback quality. Main contribution: a reproducible pipeline linking classroom-cluster causal estimates to interactional mediation pathways while operationalizing drift, contamination, and PII safeguards. Expected outcome: quantifiable evidence whether structured ChatGPT instruction yields at least a medium effect (d≈0.5) on composite CEFR scores, plus detailed process mechanisms and operational protocols for safe pilot-to-scale transition.</w:t>
      </w:r>
    </w:p>
    <w:p>
      <w:r>
        <w:t xml:space="preserve"> </w:t>
      </w:r>
    </w:p>
    <w:p>
      <w:pPr>
        <w:pStyle w:val="Heading2"/>
      </w:pPr>
      <w:r>
        <w:t>Experiments</w:t>
      </w:r>
    </w:p>
    <w:p>
      <w:r>
        <w:t>Design: three-arm cluster-randomized trial (cluster = class). Arms: (A) control = standard teacher-led instruction without ChatGPT, (B) unstructured ChatGPT = teachers permitted ad hoc ChatGPT use, (C) structured ChatGPT = scripted lesson modules using a three-tier prompt taxonomy (warm-up, guided, autonomous) plus teacher scaffolding and fidelity checklist. Phases: Phase 1 pilot and Phase 2 definitive trial. Sample targets: class size m≈25. Phase 1 pilot: 2 classes/arm/CEFR band (A2,B1,B2) =&gt; 18 classes total (~450 students) to test feasibility and validate logging/PII detection. Phase 2 definitive: target per-arm classes dependent on ICC: for ICC=0.05 aim ~6 classes/arm (~150 students/arm); for ICC=0.10 aim ~9 classes/arm (~225 students/arm). If band-stratified inference required, aim for minimum 3 classes/arm/band (conservative scenario: 9 classes/arm). Pre/post testing: baseline and end-of-intervention CEFR-aligned tasks (one speaking and one writing exemplar per band). Baseline anchor battery: monthly held benchmark panel N≈30 for drift monitoring (preferred human panel). Raters: four trained raters per modality; initial training 8h + two 4h calibration sessions; double-rate 30% of submissions; adjudicate with third rater when ratings differ by &gt;1 CEFR band. Primary metric: composite score = 0.5*writing_composite + 0.5*speaking_composite. Subscores reported (accuracy, lexical range, coherence, task fulfillment; fluency, pronunciation, negotiation for speaking). Secondary metrics: learner trust, perceived feedback quality, uptake metrics (iterations per learner), and fidelity score (percent of required lesson components executed; 80% threshold). Baselines for comparison: control vs unstructured vs structured arms. Ablations: (1) structured ChatGPT without active teacher scaffolding (remove scripted teacher interventions) to test the role of scaffolding; (2) structured ChatGPT with reduced fidelity (simulate 60% adherence) to estimate dose-response. Data collection: anonymized chat logs with model metadata (model_name, model_version, temperature), timestamps, prompt taxonomy labels, and accept/revise flags; weekly teacher contamination survey. Analyses: primary intent-to-treat multilevel model with students nested in classes and schools: Y_ijk = β0 + β1·Treatment_j + β2·Baseline_ijk + β3·Covariates + u_school_k + u_class_j(k) + e_ijk. Pre-specified covariates: baseline proficiency, student age, SES, teacher experience. Hypothesis test: two-sided α=0.05. Multiple outcomes: hierarchical testing (composite primary, then components with Holm correction). Power and effect-size reporting: standardized mean differences (Cohen's d) with cluster-adjusted SEs. Missing data: multiple imputation under MAR with m=50 imputations (explain: m=50 means 50 filled datasets combined by standard rules); MNAR sensitivity: pattern-mixture delta grid Δ ∈ {-0.2,-0.1,0,+0.1,+0.2} SD. Mediation: multilevel mediation models testing learner trust and perceived feedback quality as mediators (use product-of-coefficients with bootstrap CIs). Process analyses: automated discourse-act classifier (labels: corrective feedback, uptake, negotiation) and unsupervised topic modeling on logs; link NLP-derived features to outcomes in multilevel models. Drift and model-version checks: run anchor battery monthly; trigger revalidation if mean composite shift ≥0.20 SD or flagged feedback category change ≥15%. Contamination heuristics: cross-arm prompt cosine similarity &gt;0.70 flagged; empirically validate thresholds on pilot logs. PII detection validation: evaluate ensemble (regex + NER) on labeled gold set; compute precision/recall and human-review workload. Evaluation metrics: primary = mean difference in composite score (cluster-adjusted) and Cohen's d; secondary = subscale gains, mediation effect sizes, rater ICC (target ≥0.80), fidelity adherence rates, number/rate of hallucinations flagged, contamination incidence. Reproducibility: preregister analysis scripts, provide synthetic de-identified dataset and data dictionary.</w:t>
      </w:r>
    </w:p>
    <w:p>
      <w:r>
        <w:t xml:space="preserve"> </w:t>
      </w:r>
    </w:p>
    <w:p>
      <w:pPr>
        <w:pStyle w:val="Heading2"/>
      </w:pPr>
      <w:r>
        <w:t>Risk Factors And Limitations</w:t>
      </w:r>
    </w:p>
    <w:p>
      <w:r>
        <w:t>Model drift: LLM updates can change feedback behavior and invalidate comparisons across time; anchor-based drift monitoring may detect but cannot always prevent bias. Hallucinations: AI may produce incorrect or misleading feedback; teacher review is required, which increases teacher workload. Contamination: prompt sharing between classes or teachers could reduce treatment contrast; automated heuristics yield false positives/negatives and must be empirically tuned. PII leakage: chat logs may contain personal data; automated detection has imperfect recall and requires human review, increasing cost and latency. Rater reliability and scalability: achieving high ICC (≥0.80) requires intensive rater training and ongoing calibration; rater drift is possible over time. Subgroup power and DIF: small subgroup sizes limit fairness analyses; Bayesian partial-pooling helps but reduces precision. Missing data: MI assumptions (MAR) may be violated; MNAR sensitivity relies on chosen delta grid and can be inconclusive. Generalizability: results from pilot schools and CEFR bands A2–B2 may not transfer to other contexts, age groups, or higher proficiency bands. Compute and cost: logging, NLP processing, and human review scale compute and budget needs; enterprise API costs vary and may constrain sample size. Ethical/legal: vendor DPAs, consent procedures, and data-retention policies may delay deployments. Operational burden: teacher PD (8–12 hours) and fidelity monitoring increase teacher time demands and may affect adoption and fidelity.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