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minimal_online_efl_lowres</w:t>
      </w:r>
    </w:p>
    <w:p>
      <w:r>
        <w:t xml:space="preserve"> </w:t>
      </w:r>
    </w:p>
    <w:p>
      <w:pPr>
        <w:pStyle w:val="Heading2"/>
      </w:pPr>
      <w:r>
        <w:t>Title</w:t>
      </w:r>
    </w:p>
    <w:p>
      <w:r>
        <w:t>A phenomenological case study evaluating a minimal-tool emergency online EFL instruction protocol in a low-resourced Bangladeshi private school</w:t>
      </w:r>
    </w:p>
    <w:p>
      <w:r>
        <w:t xml:space="preserve"> </w:t>
      </w:r>
    </w:p>
    <w:p>
      <w:pPr>
        <w:pStyle w:val="Heading2"/>
      </w:pPr>
      <w:r>
        <w:t>Short Hypothesis</w:t>
      </w:r>
    </w:p>
    <w:p>
      <w:r>
        <w:t>Students exposed to a minimal-tool emergency online EFL protocol (voice-notes, IVR, SMS prompts, and low-bandwidth teacher coaching) will show greater improvement in 60-second oral production composite scores (0–6 scale) at 8 weeks than students receiving no remote support.</w:t>
      </w:r>
    </w:p>
    <w:p>
      <w:r>
        <w:t xml:space="preserve"> </w:t>
      </w:r>
    </w:p>
    <w:p>
      <w:pPr>
        <w:pStyle w:val="Heading2"/>
      </w:pPr>
      <w:r>
        <w:t>Related Work</w:t>
      </w:r>
    </w:p>
    <w:p>
      <w:r>
        <w:t>Prior work on low-bandwidth or minimal online language instruction has explored lightweight digital tools (voice-notes, SMS, Padlet), project-based activities to sustain motivation, and use of IVR (interactive voice response) for assessments. Computational methods applied include automatic speech recognition (ASR) for scoring and lexical diversity metrics such as MATTR (moving-average type-token ratio) and MTLD (measure of textual lexical diversity). Limitations remain: ASR models perform poorly on accented, child, or low-bitrate audio (high word error rates), reducing reliability of automated scoring; lexical metrics are unstable on short spoken samples; many prior studies report technical prototypes without validated rubrics or psychometric checks; and few studies capture teachers' lived experiences in low-resourced schools during emergency shifts. Operational gaps include unclear sampling rules for human transcription, weak missing-data and estimand specifications, teacher workload modelling, and legal/data-localization constraints.</w:t>
      </w:r>
    </w:p>
    <w:p>
      <w:r>
        <w:t xml:space="preserve"> </w:t>
      </w:r>
    </w:p>
    <w:p>
      <w:pPr>
        <w:pStyle w:val="Heading2"/>
      </w:pPr>
      <w:r>
        <w:t>Abstract</w:t>
      </w:r>
    </w:p>
    <w:p>
      <w:r>
        <w:t>Emergency school closures push English-as-a-foreign-language (EFL) teaching online in contexts with limited devices, connectivity, and local support. This study uses a phenomenological case study method to examine how a minimal-tool protocol (voice-notes, IVR prompts, SMS cues, and low-bandwidth teacher coaching) is experienced and enacted by teachers in a low-resourced private school in Bangladesh and to evaluate learner oral gains after an 8-week rollout. Data sources include semi-structured teacher interviews, recorded classroom interactions, student 60-second oral samples, IVR logs, and program documents. Analysis combines interpretive phenomenological analysis (IPA) of qualitative data and pre-specified quantitative models for a primary oral-production outcome (60s composite, 0–6), lexical metrics (MATTR and MTLD), and IVR receptive scores. Main contributions are: (1) an empirically grounded description of teacher decision-making and constraints when using minimal tools; (2) a preregistered measurement protocol for short spoken samples; and (3) feasibility evidence on automated scoring and human-in-loop transcription policies. Expected outcome is a reproducible, low-bandwidth protocol and measurement package suitable for low-resource emergency contexts.</w:t>
      </w:r>
    </w:p>
    <w:p>
      <w:r>
        <w:t xml:space="preserve"> </w:t>
      </w:r>
    </w:p>
    <w:p>
      <w:pPr>
        <w:pStyle w:val="Heading2"/>
      </w:pPr>
      <w:r>
        <w:t>Experiments</w:t>
      </w:r>
    </w:p>
    <w:p>
      <w:r>
        <w:t>Datasets: (A) Qualitative: semi-structured interviews with six focal teachers, lesson recordings, and program documents. (B) Quantitative trial: cluster-randomized trial with two arms (minimal-tool intervention vs business-as-usual control), clusters = schools, target 16 clusters per arm, average cluster size = 25 students, 8-week intervention. Collected data per student: baseline and 8-week 60-second oral production recordings, weekly IVR receptive-vocab responses, task-completion logs, demographic/SES proxy, and submission metadata. Psychometric sample: separate calibration set of ~100 students across 3–5 schools for rubric validation. Baselines for comparison: (1) business-as-usual control; (2) human-transcribed scoring baseline (gold standard) for ASR comparisons; (3) ablated intervention variants (no ASR auto-scoring; sampled human transcription only). Evaluation metrics: primary = change in 60s production composite (0–6) at 8 weeks. Secondary = IVR receptive vocabulary % correct, task completion rate, MATTR (moving-average TTR; explained: sliding-window lexical diversity) and MTLD, mean utterance length (words per utterance), ASR WER (word error rate; explained: percent of words wrongly recognized), intelligibility rating (0–2), and submission lag. Statistical analysis: pre-specified mixed-effects linear model with random intercepts for school and class, fixed covariates baseline score, age, gender, SES proxy; cluster-robust standard errors; primary estimand = ITT (intention to treat). Missing data: multiple imputation by chained equations (MICE) with 20 imputations; MNAR sensitivity via delta-adjustment. Psychometric checks: item difficulty 0.3–0.7, item discrimination &gt;0.3, Cronbach's alpha 0.7–0.9, inter-rater kappa &gt;0.7, test-retest ICC &gt;0.7. Ablation studies: (A) MATTR vs MTLD robustness on samples with ≥30 lexical tokens vs thresholds 20/40; (B) automated scoring using offline ASR vs human transcription on a 15% stratified sample (strata: school, dialect, baseline score); (C) effect estimates when human-transcription sampling rates vary (5%, 15%, 30%). ASR sensitivity analysis: simulate downstream outcome effects at WER levels 20%, 35%, 50%. Pre-registration: seed and software versions for analysis scripts, and pre-specification of randomization procedure (blocked by school size and baseline average production).</w:t>
      </w:r>
    </w:p>
    <w:p>
      <w:r>
        <w:t xml:space="preserve"> </w:t>
      </w:r>
    </w:p>
    <w:p>
      <w:pPr>
        <w:pStyle w:val="Heading2"/>
      </w:pPr>
      <w:r>
        <w:t>Risk Factors And Limitations</w:t>
      </w:r>
    </w:p>
    <w:p>
      <w:r>
        <w:t>Technical: offline ASR may yield high WER (30–50%) on accented child speech, causing noisy lexical metrics and mis-scoring; ASR degradation under low-bitrate audio and background noise is likely. Data: short 60s samples can have insufficient lexical tokens (&lt;30) making MATTR unstable. Human transcription: turnaround and quality may be delayed in low-connectivity settings; transcription costs may be high per audio-minute. Design: cluster-RCT requires many clusters for powered inference; pilot sample sizes may limit statistical power and generalization. Measurement: rubric scoring may show low inter-rater reliability without extensive calibration. Missing data: uneven participation, device-sharing, and gendered access can bias outcomes; MNAR mechanisms may remain untestable. Legal/ethical: country-specific data-localization and child-protection rules may restrict storage/transfer. Scalability: teacher marking time and coordinator burden may become bottlenecks at scale. Generalization: findings from a single private school or a small number of clusters may not generalize to public or geographically diverse low-resource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