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ownership_moderated_human_security_retention</w:t>
      </w:r>
    </w:p>
    <w:p>
      <w:r>
        <w:t xml:space="preserve"> </w:t>
      </w:r>
    </w:p>
    <w:p>
      <w:pPr>
        <w:pStyle w:val="Heading2"/>
      </w:pPr>
      <w:r>
        <w:t>Title</w:t>
      </w:r>
    </w:p>
    <w:p>
      <w:r>
        <w:t>Structural equation modeling of ownership-moderated effects of academic human security on staff retention in Jordanian universities</w:t>
      </w:r>
    </w:p>
    <w:p>
      <w:r>
        <w:t xml:space="preserve"> </w:t>
      </w:r>
    </w:p>
    <w:p>
      <w:pPr>
        <w:pStyle w:val="Heading2"/>
      </w:pPr>
      <w:r>
        <w:t>Short Hypothesis</w:t>
      </w:r>
    </w:p>
    <w:p>
      <w:r>
        <w:t>Higher levels of academic staff human security (job, legal, economic, research, personal/moral) cause higher job retention, and the magnitude of this causal effect differs between public and private universities.</w:t>
      </w:r>
    </w:p>
    <w:p>
      <w:r>
        <w:t xml:space="preserve"> </w:t>
      </w:r>
    </w:p>
    <w:p>
      <w:pPr>
        <w:pStyle w:val="Heading2"/>
      </w:pPr>
      <w:r>
        <w:t>Related Work</w:t>
      </w:r>
    </w:p>
    <w:p>
      <w:r>
        <w:t>Prior studies show that dimensions of human security (e.g., job stability, economic protection, legal protections, research support, personal/moral safety) correlate with academic retention and that job satisfaction often mediates retention. Many existing analyses use cross-sectional regression or standard SEM (structural equation modeling — a method that models relationships among observed and latent variables) and multigroup comparisons by ownership. Limitations in prior work include weak handling of endogeneity (unmeasured factors that affect both security and retention), limited treatment of time-varying confounding, scarce use of validated composite measures of institutional ownership (OEI), inadequate power calculations for clustered university samples, incomplete measurement invariance testing across ownership groups, and little use of robustness checks like IV (instrumental variable) designs, g-methods (methods for time-varying confounding), or mediation–survival models for time-to-exit outcomes.</w:t>
      </w:r>
    </w:p>
    <w:p>
      <w:r>
        <w:t xml:space="preserve"> </w:t>
      </w:r>
    </w:p>
    <w:p>
      <w:pPr>
        <w:pStyle w:val="Heading2"/>
      </w:pPr>
      <w:r>
        <w:t>Abstract</w:t>
      </w:r>
    </w:p>
    <w:p>
      <w:r>
        <w:t>This study tests whether dimensions of academic human security influence faculty job retention in Jordan and whether university ownership (public vs private) moderates that effect. We combine a cross-sectional online survey of academics with institutional administrative indicators to build an Ownership Exposure Index (OEI) and latent human-security scales. We use structural equation modeling (SEM) to estimate direct and indirect paths from human security to retention through mediators such as affective commitment, burnout, and engagement, and we test moderated mediation by ownership. Main contributions are: (1) a validated OEI combining governance and HR features, (2) preregistered measurement invariance and reliability thresholds for human-security scales, and (3) a set of robustness checks including alternative OEI codings, IV candidates, and g-method/TMLE sensitivity analyses (TMLE is a doubly-robust estimation method that reduces bias). Expected outcomes are quantified path estimates, evidence on whether ownership changes effect sizes, and concrete guidance for university HR policy in Jordan.</w:t>
      </w:r>
    </w:p>
    <w:p>
      <w:r>
        <w:t xml:space="preserve"> </w:t>
      </w:r>
    </w:p>
    <w:p>
      <w:pPr>
        <w:pStyle w:val="Heading2"/>
      </w:pPr>
      <w:r>
        <w:t>Experiments</w:t>
      </w:r>
    </w:p>
    <w:p>
      <w:r>
        <w:t>Datasets: (A) Primary: cross-sectional online survey of Jordanian academic staff (target n=356 pilot; scale to 750–1600 for main study) collecting validated items for psychological safety, economic precarity, legal security, research support, personal/moral safety, mediators (affective commitment, burnout, engagement), turnover intention, and demographics; (B) Administrative HR extracts where available: contract types, hire/exit dates, rank, department, and institutional finances; (C) Institutional policy corpus to code OEI components. Baselines: (1) pooled SEM without ownership moderation; (2) multigroup SEM by ownership (public/private); (3) index OEI (standardized sum) vs latent OEI (CFA/IRT factor). Estimators and model forms: use WLSMV (weighted least squares mean and variance adjusted) for ordinal items, maximum likelihood for continuous measures, bootstrapped CIs (5,000 draws) for indirect effects, and Cox or RMST (restricted mean survival time) models for time-to-exit when administrative dates exist. Mediation and moderation: estimate natural direct and indirect effects in SEM with ownership as moderator of security→mediator and mediator→outcome paths; run TMLE and marginal structural models (IPTW with stabilized weights) as robustness checks (TMLE is a doubly-robust method combining outcome and treatment models). Instrument checks: if plausible instruments found, implement 2SRI (two-stage residual inclusion) for IV-mediation and report first-stage F&gt;10, overidentification, negative-control outcomes, and event-study pre-trends. Evaluation metrics: standardized path coefficients, indirect effect sizes with bootstrapped CI, model fit indices (CFI, RMSEA, SRMR), reliability (omega &gt;0.75), hazard ratios or RMST contrasts, E-values for unmeasured confounding. Ablations and comparisons: (a) OEI index vs latent OEI; (b) pooled vs ownership-moderated models; (c) full confounder set vs reduced covariate set; (d) SEM mediation vs TMLE/MSM mediation; (e) inclusion/exclusion of time-varying covariates when available. Clustering and inference: use university-cluster robust SEs and multilevel SEM where ICC&gt;0.05. Pre-registration: pre-specify lag rules, primary estimand, and all robustness checks.</w:t>
      </w:r>
    </w:p>
    <w:p>
      <w:r>
        <w:t xml:space="preserve"> </w:t>
      </w:r>
    </w:p>
    <w:p>
      <w:pPr>
        <w:pStyle w:val="Heading2"/>
      </w:pPr>
      <w:r>
        <w:t>Risk Factors And Limitations</w:t>
      </w:r>
    </w:p>
    <w:p>
      <w:r>
        <w:t>Measurement error and scale validity: survey items may not capture all human-security facets; latent models may fail invariance across ownership. Causal identification: cross-sectional design limits causal claims; unmeasured confounding may bias mediation estimates and invalidate sequential ignorability. Instrument weakness: credible instruments or natural experiments may be unavailable or violate exclusion restrictions. Sample and clustering: limited numbers of universities or low per-university responses reduce power for moderated multilevel mediation. Time-related issues: absence of longitudinal administrative dates prevents survival modeling and temporal ordering. Interference: faculty mobility and policy diffusion across universities can violate no-interference (SUTVA), biasing estimates. Missing data and MNAR: nonrandom survey nonresponse or attrition may bias results. Competing risks: exits due to retirement or sector change complicate survival interpretation if not modeled correctly. Ethical risks: small-cell counts and institutional identifiers may risk re-identification of staff; sensitive findings could produce reputational or employment harms. Generalizability: findings from Jordanian universities may not transfer to other countries or governance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