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globalization_democracy_jordan_saudi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Comparative causal analysis of globalization shocks on democratic outcomes in Jordan and Saudi Arabia using event-study, instrumental-variables, and synthetic-control methods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10-percentage-point exogenous increase in regional internet penetration causes a statistically significant rise in protest incidence and an improvement in civil-liberties scores in treated subnational units of Jordan and Saudi Arabia within three years.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applies cross-country and country-case studies to link globalization (trade, internet, aid) to democracy outcomes using indices (V-Dem, Freedom House) and event datasets (ACLED). Quantitative approaches include panel fixed-effects, difference-in-differences, instrumental-variables (IV) using global shocks, and synthetic-control for single large interventions. Text and social-media methods have been used to measure protests and discourse but often lack dialectal Arabic coverage. Limitations across existing approaches: (1) many studies use two-way fixed effects without correcting for staggered treatment timing or heterogeneous effects, producing biased dynamic estimates; (2) IV strategies are often thinly justified and weak in first stage; (3) synthetic-control applications frequently omit rigorous donor-pool pre-registration and RMSPE diagnostics; (4) measurement error and underreporting (especially for protest counts and informal speech) reduce validity; (5) few analyses integrate rigorous Arabic-NLP validation or subnational causal inference, leaving spillovers, time-varying confounders, and reverse causality insufficiently addressed.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how discrete globalization shocks — increases in internet penetration, trade/FDI surges, and donor-conditionality packages — causally affect democratic outcomes in Jordan and Saudi Arabia. We combine staggered-event designs (event-study coefficients corrected for cohort heterogeneity), instrumental-variable analysis (exogenous global shocks), and synthetic-control counterfactuals to triangulate effects on protest incidence, electoral competitiveness, civil liberties, and rule-of-law measures. The main contribution is an integrated, preregistered causal pipeline that (1) defines treatments quantitatively (e.g., +10 percentage points internet penetration), (2) accounts for spatial spillovers and time-varying confounders, and (3) incorporates dialect-aware Arabic NLP signals for subnational mobilization. Expected outcomes are precise estimates of short- and medium-term dynamics (0–1, 1–3, 3–6 years) showing whether globalization’s mobilizing informational effects outweigh state countermeasures in these two authoritarian settings. The study yields reproducible code, documented diagnostics (first-stage strength, RMSPE), and clearly labeled primary vs exploratory estimates to inform scholarly and policy debates about globalization and political change.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V-Dem democracy indices (electoral competitiveness, civil liberties, rule-of-law), Freedom House scores, ACLED protest/event counts, AidData conditionality records, GSMA/ITU or national internet penetration by subnational unit, national budgets (defense/security spend), SIPRI/IISS, Arab Barometer survey data, submarine-cable landing dates, global oil-price series, and social-media archives (CrowdTangle, commercial Twitter archives, GDELT). Baselines: (A) two-way fixed-effects panel OLS, (B) difference-in-differences without stagger-correction, (C) single-instrument IV (oil price) with 2SLS. Proposed methods: (1) event-study estimators corrected for staggered timing (Callaway &amp; Sant’Anna and Sun &amp; Abraham implementations), (2) IV analyses using global commodity or cable-timing instruments with first-stage tests, (3) synthetic-control analyses with pre-registered donor pools and RMSPE diagnostics. Evaluation metrics: effect sizes on protest counts (incidence rate ratio and coefficient with 95% CI using negative-binomial mixed models), changes in V-Dem index points, p-values and robust clustered SEs, first-stage F-statistics, synthetic-control RMSPE and permutation p-values, NLP classifier precision/recall/F1 (precision &gt;0.80 target). Experimental setup: pre-register treatments (e.g., +10 pp internet), event window [-2,+4], lags 0–1, 1–3, 3–6 years, cluster standard errors at subnational unit level, negative-binomial for counts, fixed effects for unit and year, covariates pre-specified (GDPpc, urbanization, oil rents/GDP, regional unrest). Ablation/comparison studies: (i) compare event-study vs synthetic-control vs IV estimates on same shock and outcome; (ii) ablate NLP-derived protest signal to assess dependence on text measures; (iii) replace IV with LIML and Anderson-Rubin intervals under weak-first-stage scenarios; (iv) vary donor-pool restrictions and report leave-one-out results.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weak instruments (low first-stage F) producing unreliable IV estimates; biased event-study estimates if time-varying confounders are not fully controlled; NLP classifiers underperform for dialectal Arabic causing measurement error. Data biases: ACLED underreporting in closed contexts and differential media coverage causing outcome measurement bias; limited or irregular subnational internet penetration data. Scalability and compute: training Arabic NLP at scale and running many synthetic-control permutations can be compute-intensive. Sample-size and power limits: subnational N (~30 regions) may yield low power for small effects, constraining detectability. Spillovers and interference: spatial and network spillovers may violate no-interference assumptions and bias causal estimates; buffer rules may be imperfect. Legal/ethical constraints: data access or vendor DUAs and local laws may restrict social-media and administrative data collection. Generalization limits: results are specific to Jordan and Saudi Arabia and likely do not generalize to different regime types or regions without caution.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