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efl_private_eastjava_highindex_pubstudy</w:t>
      </w:r>
    </w:p>
    <w:p>
      <w:r>
        <w:t xml:space="preserve"> </w:t>
      </w:r>
    </w:p>
    <w:p>
      <w:pPr>
        <w:pStyle w:val="Heading2"/>
      </w:pPr>
      <w:r>
        <w:t>Title</w:t>
      </w:r>
    </w:p>
    <w:p>
      <w:r>
        <w:t>Sequential explanatory mixed-methods assessment of barriers to publishing in Scopus and Web of Science Q1 journals among EFL academics at private universities in East Java, Indonesia</w:t>
      </w:r>
    </w:p>
    <w:p>
      <w:r>
        <w:t xml:space="preserve"> </w:t>
      </w:r>
    </w:p>
    <w:p>
      <w:pPr>
        <w:pStyle w:val="Heading2"/>
      </w:pPr>
      <w:r>
        <w:t>Short Hypothesis</w:t>
      </w:r>
    </w:p>
    <w:p>
      <w:r>
        <w:t>Higher levels of institutional research support, mentoring quality, and English academic writing confidence cause an increase in the probability that an EFL academic at a private East Java university authors at least one Q1-indexed article (Scopus or Web of Science) during 2021–2025.</w:t>
      </w:r>
    </w:p>
    <w:p>
      <w:r>
        <w:t xml:space="preserve"> </w:t>
      </w:r>
    </w:p>
    <w:p>
      <w:pPr>
        <w:pStyle w:val="Heading2"/>
      </w:pPr>
      <w:r>
        <w:t>Related Work</w:t>
      </w:r>
    </w:p>
    <w:p>
      <w:r>
        <w:t>Existing approaches include bibliometric studies that measure publication counts and journal quartiles, survey studies that measure perceived barriers, and qualitative studies that document individual experiences. Bibliometric work often relies on a single database (Scopus or Web of Science), limited disambiguation rules, and lacks reproducible search strings. Survey studies typically use cross-sectional models without multilevel (clustered) adjustment for university effects and often neglect psychometric validation of scales. Qualitative studies provide rich context but are rarely integrated with bibliometric or multilevel quantitative evidence. Limitations across prior work: narrow database coverage, weak or undocumented author disambiguation (leading to false matches), small or unrepresentative samples, lack of explicit power simulations for clustered designs, insufficient handling of nonresponse bias, and limited reproducibility of extraction and analysis workflows.</w:t>
      </w:r>
    </w:p>
    <w:p>
      <w:r>
        <w:t xml:space="preserve"> </w:t>
      </w:r>
    </w:p>
    <w:p>
      <w:pPr>
        <w:pStyle w:val="Heading2"/>
      </w:pPr>
      <w:r>
        <w:t>Abstract</w:t>
      </w:r>
    </w:p>
    <w:p>
      <w:r>
        <w:t>This study assesses publication productivity and barriers to publishing in top-quartile (Q1) Scopus and Web of Science journals among English-as-a-foreign-language (EFL) academics working at private universities in East Java, Indonesia. We use a sequential explanatory mixed-methods design: reproducible bibliometric extraction (Scopus + WoS, 2021–2025), a psychometrically validated survey (pilot N≈200, main target N≈300) analyzed with multilevel models, and 20–30 in-depth interviews plus 3–4 focus groups for explanatory depth. Main contributions are (1) an operational, year-by-year HIGH_INDEX definition and reproducible extraction/disambiguation pipeline, (2) multilevel statistical estimates of effect sizes for institutional support, mentoring, and language confidence on HIGH_INDEX outcomes, and (3) integrated qualitative mechanisms that explain quantitative associations and inform capacity-building materials. Expected outcomes include robust, reproducible estimates of drivers of Q1 publication, validated measurement scales, and policy-relevant recommendations and training resources to improve publication success among EFL academics in private East Java universities.</w:t>
      </w:r>
    </w:p>
    <w:p>
      <w:r>
        <w:t xml:space="preserve"> </w:t>
      </w:r>
    </w:p>
    <w:p>
      <w:pPr>
        <w:pStyle w:val="Heading2"/>
      </w:pPr>
      <w:r>
        <w:t>Experiments</w:t>
      </w:r>
    </w:p>
    <w:p>
      <w:r>
        <w:t>Datasets: (1) Bibliometric corpus: Scopus and Web of Science records 2021–2025 filtered for ministry-coded private East Java universities (export fields: DOI, title, authors, affiliations, ORCID, journal, year, source quartile per year); (2) SINTA and institutional lists for cross-validation; (3) Survey data: pilot N≈200 (for EFA), main survey target N=300 (minimum 250) of academics with confirmed private East Java affiliation; (4) Qualitative: 20–30 interviews and 3–4 focus groups (Bahasa Indonesia and English). Baselines: (A) bibliometric-only baseline using raw Q1 counts; (B) single-database models (Scopus-only); (C) statistical baseline models: single-level logistic and negative-binomial regressions without cluster correction; (D) disambiguation baseline: Levenshtein-only matching. Primary models: two-level logistic regression predicting HIGH_INDEX (random intercept for university), negative-binomial multilevel models for publication counts, and Firth logistic regression for rare-event low-prevalence scenarios (Firth = penalized likelihood method to reduce bias in rare events). Evaluation metrics: AUC (area under ROC) for binary prediction, odds ratios with 95% CIs, incidence rate ratios for counts, ICC (intraclass correlation coefficient) for clustering, Cronbach's alpha and McDonald's omega for scale reliability (alpha/omega &gt;=0.70 target), EFA/CFA fit indices (RMSEA, CFI, TLI), Cohen's kappa for intercoder reliability (&gt;=0.80 target), and precision/recall/F1 for author-disambiguation (precision = true positives / predicted positives; recall = true positives / actual positives). Disambiguation validation: report precision/recall on a labeled pilot set (manual labels) and expand manual QA until measured recall precision estimates stabilize. Experimental setup: (1) Preprocess bibliometric records: normalize names (remove punctuation, expand initials), deduplicate by DOI then fuzzy-title; (2) Disambiguation pipeline: ORCID exact match -&gt; probabilistic model combining name similarity, coauthor overlap, affiliation history, email match, and topical similarity (term overlap in titles/abstracts); (3) Survey psychometrics: EFA on pilot N=200, retain factors, then CFA on holdout or full sample; (4) Primary inference: multilevel logistic with IPW (inverse-probability weights) for nonresponse; publish fixed random seeds and simulation code for power; (5) Ablation and comparisons: (a) union Q1 (Scopus OR WoS) vs intersection (Scopus AND WoS) vs Q1+Q2; (b) probabilistic disambiguation vs Levenshtein-only; (c) models with and without mentoring, with and without language confidence; (d) IPW vs unweighted vs trimmed IPW bounds ([0.5,2.0] and sensitivity [0.25,4.0]); (6) Sensitivity analyses: Firth logistic for prevalence scenarios ≤5%, and modeled MNAR scenarios using selection models. Reproducibility: publish extraction scripts (Scopus/WoS templates), disambiguation code, model code, and unit tests; report compute requirements and sample outputs.</w:t>
      </w:r>
    </w:p>
    <w:p>
      <w:r>
        <w:t xml:space="preserve"> </w:t>
      </w:r>
    </w:p>
    <w:p>
      <w:pPr>
        <w:pStyle w:val="Heading2"/>
      </w:pPr>
      <w:r>
        <w:t>Risk Factors And Limitations</w:t>
      </w:r>
    </w:p>
    <w:p>
      <w:r>
        <w:t>Technical failure modes: low ORCID coverage may force extensive manual disambiguation, increasing labor and error risk; probabilistic disambiguation may have lower recall for single-name Indonesian authors. Data biases: SINTA/Scopus/WoS coverage gaps for local-language journals and conference proceedings may undercount relevant outputs; union Q1 rule may create false positives (journals Q1 in one database but not recognized in another). Statistical limits: clustered low-prevalence HIGH_INDEX outcomes reduce power; ICC greater than assumed will inflate required sample or cluster counts. Nonresponse risks: differential nonresponse by productive authors or by institution may bias estimates and weaken generalizability. Qualitative limits: translation/back-translation inconsistencies may alter meaning; subgroup saturation may not be reached for small subgroups (e.g., rare disciplines). Scalability and compute: large bibliometric merges and probabilistic disambiguation require moderate compute and manual QA time; limited compute or personnel may slow reproducibility. Generalization: results focus on private East Java universities and EFL academics and may not apply to public universities, other Indonesian regions, or non-EFL contexts. Legal/ethical limits: complete withdrawal of bibliometric linkage after data release may be legally or practically infeasible for already-archived records.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