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marital_compatibility_tripoli</w:t>
      </w:r>
    </w:p>
    <w:p>
      <w:r>
        <w:t xml:space="preserve"> </w:t>
      </w:r>
    </w:p>
    <w:p>
      <w:pPr>
        <w:pStyle w:val="Heading2"/>
      </w:pPr>
      <w:r>
        <w:t>Title</w:t>
      </w:r>
    </w:p>
    <w:p>
      <w:r>
        <w:t>Multilevel mediated structural equation modeling and latent profile analysis of marital compatibility among married Libyan women in Tripoli</w:t>
      </w:r>
    </w:p>
    <w:p>
      <w:r>
        <w:t xml:space="preserve"> </w:t>
      </w:r>
    </w:p>
    <w:p>
      <w:pPr>
        <w:pStyle w:val="Heading2"/>
      </w:pPr>
      <w:r>
        <w:t>Short Hypothesis</w:t>
      </w:r>
    </w:p>
    <w:p>
      <w:r>
        <w:t>Higher perceived marital compatibility causes greater marital satisfaction through increased personal autonomy, controlling for age, education, marriage duration, and neighborhood socioeconomic status.</w:t>
      </w:r>
    </w:p>
    <w:p>
      <w:r>
        <w:t xml:space="preserve"> </w:t>
      </w:r>
    </w:p>
    <w:p>
      <w:pPr>
        <w:pStyle w:val="Heading2"/>
      </w:pPr>
      <w:r>
        <w:t>Related Work</w:t>
      </w:r>
    </w:p>
    <w:p>
      <w:r>
        <w:t>Prior work on marital adjustment typically uses cross-sectional household surveys and classical test theory scales to measure compatibility and satisfaction. Many studies use single-level regression or basic mediation tests that ignore neighborhood clustering (clusters are groups like neighborhoods) and complex survey weights, which can bias estimates when respondents are clustered. Latent class or latent profile methods have been used to identify compatibility profiles but often on small or convenience samples, producing unstable class solutions. Psychometric work has relied on factor analysis without graded-response item models (IRT), making shortened scales less precise across trait ranges. Missing-data treatments are commonly limited to single imputation or listwise deletion, which can distort mediation results when nonresponse is related to sensitive issues like intimate partner violence (IPV). Qualitative integration is often limited to post-hoc interpretation instead of informing item content and invariance testing. Overall limitations include weak handling of clustering and weights, limited power for small indirect effects, insufficient MNAR (not missing at random) sensitivity, and poor cultural adaptation for Libyan contexts.</w:t>
      </w:r>
    </w:p>
    <w:p>
      <w:r>
        <w:t xml:space="preserve"> </w:t>
      </w:r>
    </w:p>
    <w:p>
      <w:pPr>
        <w:pStyle w:val="Heading2"/>
      </w:pPr>
      <w:r>
        <w:t>Abstract</w:t>
      </w:r>
    </w:p>
    <w:p>
      <w:r>
        <w:t>This study investigates whether perceived marital compatibility predicts marital satisfaction via women’s autonomy in married Libyan women in Tripoli, using multilevel mediated structural equation modeling (SEM) and latent profile analysis (LPA). We will collect a stratified multistage survey with purposive oversamples for hard-to-reach subgroups and pair quantitative scale development with qualitative item work from life histories. The main contribution is a rigorously preregistered, design-aware analytic pipeline that (1) models individual-level mediation within neighborhood clusters, (2) evaluates latent compatibility profiles that reflect cultural domains (e.g., izzat, in‑law diplomacy), and (3) integrates psychometric (factor analysis + IRT) and missing-data sensitivity (FIML, multilevel multiple imputation, MNAR scenarios). Expected outcomes are validated, culturally grounded measures of marital compatibility, clear effect-size estimates for mediated relations, robust latent profiles, and reproducible workflows for weighted multilevel SEM and complex-design LPA in low-resource urban settings.</w:t>
      </w:r>
    </w:p>
    <w:p>
      <w:r>
        <w:t xml:space="preserve"> </w:t>
      </w:r>
    </w:p>
    <w:p>
      <w:pPr>
        <w:pStyle w:val="Heading2"/>
      </w:pPr>
      <w:r>
        <w:t>Experiments</w:t>
      </w:r>
    </w:p>
    <w:p>
      <w:r>
        <w:t>Datasets: (A) Pilot cognitive-test sample n=60 (diverse education/marriage types); (B) Main field survey target n=500 (stratified multistage probability sample across Tripoli neighborhoods with cluster units = neighborhoods; average cluster size ≈10; purposive oversample for low-literacy and recent migrants); (C) Monte Carlo simulation datasets with 1,000+ replications per scenario varying clusters {30,50,100}, ICCs {0.02,0.05,0.10}, paths a,b {0.20,0.32,0.45}, missing rates {5%,10%,20%} and one MNAR condition. Baselines: (1) single-level mediation SEM without weights, (2) multilevel SEM without weights, (3) unweighted LPA, (4) classical summed-score mediation (no latent variables), (5) IRT-uninformed short form. Metrics: statistical power for indirect effect detection (percent of simulated replications with p&lt;0.05), standardized indirect effect size (ab), model fit indices (CFI, TLI, RMSEA, SRMR), reliability (omega), IRT discrimination (a parameter), item/test information, DIF logistic ΔR2, LPA entropy and smallest-class size stability, sensitivity of estimates under MNAR scenarios. Experimental setup: (1) Psychometric pipeline: exploratory and confirmatory factor analysis (EFA/CFA) then graded-response IRT; retain items with loading≥0.45 and IRT a≥0.7; compute omega. (2) Mediation: multilevel SEM with Level-1: compatibility -&gt; autonomy (a), autonomy -&gt; satisfaction (b), compatibility -&gt; satisfaction direct (c'); compute indirect a*b with 5,000 bootstrap CIs. Estimate with weights and cluster robust SEs (compare Mplus TYPE=COMPLEX and lavaan.survey). (3) LPA: run 2–6 class solutions with weights; evaluate BIC, BLRT, entropy; compare probability-only vs combined samples. (4) Missing-data: compare FIML, multilevel MI (jomo/pan) with m &gt;= percent missing rule (m = % missing), and MNAR pattern-mixture offsets; report pooled estimates. Ablations: (A) with vs without design weights, (B) FIML vs multilevel MI, (C) include vs exclude gatekeeper oversample, (D) full vs short-form item sets, (E) LPA on probability-only vs combined sample. Cross-validation: hold-out 30% sample for short-form and class stability. Reproducibility: archive simulation seeds, software versions, and code.</w:t>
      </w:r>
    </w:p>
    <w:p>
      <w:r>
        <w:t xml:space="preserve"> </w:t>
      </w:r>
    </w:p>
    <w:p>
      <w:pPr>
        <w:pStyle w:val="Heading2"/>
      </w:pPr>
      <w:r>
        <w:t>Risk Factors And Limitations</w:t>
      </w:r>
    </w:p>
    <w:p>
      <w:r>
        <w:t>Technical failure modes: multilevel SEM may not converge for complex models with small cluster counts; LPA classes may be unstable if some classes have &lt;50 cases. Data and evaluation biases: gatekeeper (chain-referral) oversamples can introduce selection bias that is hard to fully correct; social desirability and fear of disclosure (especially for IPV) can bias sensitive items and create MNAR missingness. Sample size and power limits: detecting very small indirect effects (ab≈0.10) may require total N &gt;800 under clustering; budget or field constraints may force lower N, reducing power. Scalability and compute: Monte Carlo simulations and multilevel MI are computationally intensive and require access to high-memory compute; Bayesian alternatives increase runtime. Generalization limits: findings will be specific to married women in Tripoli and may not generalize to other Libyan regions, unmarried women, men, or different cultural contexts. Legal and safety constraints: limited local IPV services may restrict ethical referral options and affect participant willingness to disclose sensitive information.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