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all_together_now_rf_reading</w:t>
      </w:r>
    </w:p>
    <w:p>
      <w:r>
        <w:t xml:space="preserve"> </w:t>
      </w:r>
    </w:p>
    <w:p>
      <w:pPr>
        <w:pStyle w:val="Heading2"/>
      </w:pPr>
      <w:r>
        <w:t>Title</w:t>
      </w:r>
    </w:p>
    <w:p>
      <w:r>
        <w:t>Random forests analysis of multiple statistical regularities predicting eye movements in passage reading</w:t>
      </w:r>
    </w:p>
    <w:p>
      <w:r>
        <w:t xml:space="preserve"> </w:t>
      </w:r>
    </w:p>
    <w:p>
      <w:pPr>
        <w:pStyle w:val="Heading2"/>
      </w:pPr>
      <w:r>
        <w:t>Short Hypothesis</w:t>
      </w:r>
    </w:p>
    <w:p>
      <w:r>
        <w:t>Adding multiple statistical regularities from word and text levels (predictability, print-speech, print-meaning) to predictive models causes a measurable increase in explained variance of first-fixation and gaze durations compared to models that include only standard lexical cues (frequency, length, neighborhood).</w:t>
      </w:r>
    </w:p>
    <w:p>
      <w:r>
        <w:t xml:space="preserve"> </w:t>
      </w:r>
    </w:p>
    <w:p>
      <w:pPr>
        <w:pStyle w:val="Heading2"/>
      </w:pPr>
      <w:r>
        <w:t>Related Work</w:t>
      </w:r>
    </w:p>
    <w:p>
      <w:r>
        <w:t>Prior approaches fall into two broad classes: mixed-effects regression models (GLMMs) that test preselected predictors with subject/item random effects, and machine-learning models (random forests, gradient boosting) used to discover nonlinear effects and interactions. GLMMs give clear parameter estimates and hypothesis tests but struggle with many correlated predictors, nonlinearities, and high-dimensional interactions. Machine-learning models handle many predictors and nonlinearities but often lack inferential procedures that respect crossed subject×item structure and can report unstable importance under collinearity. Interpretability tools (SHAP, ALE) reveal patterns but require stability checks and confirmatory tests. Existing work rarely combines rigorous resampling that preserves the crossed structure, knockoff-based control for correlated linguistic predictors, and a discovery→confirmation pipeline that converts ML-discovered interactions into preregistered GLMM contrasts. This leaves open whether multiple regularities provide unique explanatory power beyond collinear cues and how effects change across early versus late processing.</w:t>
      </w:r>
    </w:p>
    <w:p>
      <w:r>
        <w:t xml:space="preserve"> </w:t>
      </w:r>
    </w:p>
    <w:p>
      <w:pPr>
        <w:pStyle w:val="Heading2"/>
      </w:pPr>
      <w:r>
        <w:t>Abstract</w:t>
      </w:r>
    </w:p>
    <w:p>
      <w:r>
        <w:t>We analyze how multiple statistical regularities jointly shape eye movements during passage reading by applying random forests to a large passage-reading eye-tracking corpus of English first- and second-language readers. We combine three elements: (1) a discovery stage using random forests with grouped cross-validation and TreeSHAP to detect nonlinearities and interactions across word- and text-level predictors (predictability/surprisal, print-speech regularities, print-meaning regularities, frequency, length, preview measures); (2) resampling inference that respects crossed subject×item dependencies (residual permutation or parametric/wild bootstrap) and model-X knockoffs to assess unique contributions under collinearity; and (3) a confirmatory stage fitting preregistered generalized linear mixed models (GLMMs) that test ML-identified interactions on held-out data. The main contribution is a reproducible pipeline that ranks predictors by stable importance, quantifies unique explanatory power beyond correlated cues, and tests whether predictor effects differ across processing stages (first-fixation vs gaze duration). Expected outcomes are a prioritized set of stable regularities, validated interaction contrasts, and deterministic decision rules for inference in crossed eye-tracking data.</w:t>
      </w:r>
    </w:p>
    <w:p>
      <w:r>
        <w:t xml:space="preserve"> </w:t>
      </w:r>
    </w:p>
    <w:p>
      <w:pPr>
        <w:pStyle w:val="Heading2"/>
      </w:pPr>
      <w:r>
        <w:t>Experiments</w:t>
      </w:r>
    </w:p>
    <w:p>
      <w:r>
        <w:t>Datasets: use the large-scale passage-reading eye-tracking corpus containing English L1 and L2 readers (passage-level stimuli, character spans aligned to gaze records). Preprocessing: linear interpolate gaze gaps &lt;=150 ms, exclude trials with &gt;30% track loss, retain partial trials only if target-word fixation recorded; map subword token surprisals to word-level by summing log-probabilities (sum of log probs = word log-probability). Discovery vs Confirmatory split: stratify 70% discovery / 30% confirmatory by subjects and items (no subject or item appears solely in one split). Models and baselines: (A) Baseline GLMM with standard lexical predictors (frequency, length, neighborhood), random intercepts for subject and item; (B) GLMM with added surprisal and preview predictors; (C) Random Forest (RF) on full predictor set with grouped nested CV (leave-one-subject-out and leave-one-item-out) and hyperparameter tuning; (D) MERF (mixed-effects random forest) as alternative; (E) RF + model-X knockoffs for variable selection. Interpretability and inference: compute TreeSHAP and SHAP interaction values with 50 bootstrap repeats stratified by subject/item; compute grouped permutation importance using residuals from null GLMMs that include covariates and random effects but omit tested block(s); run Nperm = 10,000 where feasible (use 2,000 if compute constrained) and report p = (1 + count &gt;= observed)/(1 + Nperm). Knockoffs: implement Gaussian-copula and deep-knockoff generators for predictor matrix and report swap diagnostics. Confirmatory tests: encode stable ML interactions (stability threshold: Spearman rho &gt;= 0.7 across bootstraps) as fixed-effect contrasts in GLMMs and test on held-out confirmatory set only. Evaluation metrics: continuous outcomes (first-fixation, gaze durations): cross-validated R^2 (CV R2), RMSE, calibration of predictive intervals, residual skew; binary outcomes (skipping, regressions): AUC, accuracy, Brier score, calibration. Statistical controls: FWER via permutation max-T for prespecified interaction families; FDR via knockoff filter for exploratory sets. Ablations: (1) RF without text-level regularities (remove surprisal features) to measure loss in CV R2; (2) RF with and without knockoff variable selection to compare selected sets and stability; (3) GLMM family ablation: inverse-Gaussian vs log-normal vs Gamma for durations with ΔAIC and CV comparisons. Power and calibration simulations: seeded hierarchical simulations varying subjects {30,60,120,200}, items {100,200,500}, ICCs {0.05,0.10,0.20}, effect sizes small/medium/large; 1,000 replicates per cell; report Type I, power, bias, and coverage for residual permutation, parametric bootstrap, and wild bootstrap.</w:t>
      </w:r>
    </w:p>
    <w:p>
      <w:r>
        <w:t xml:space="preserve"> </w:t>
      </w:r>
    </w:p>
    <w:p>
      <w:pPr>
        <w:pStyle w:val="Heading2"/>
      </w:pPr>
      <w:r>
        <w:t>Risk Factors And Limitations</w:t>
      </w:r>
    </w:p>
    <w:p>
      <w:r>
        <w:t>Residual-exchangeability failure: residual permutation assumes residuals are exchangeable within subject/item strata; small strata or heteroskedasticity can invalidate tests. Random-effects complexity: maximal random-slope structures may not converge, producing boundary estimates or failed fits. Knockoff failures: model-X knockoffs can break with many categorical levels or very small samples, leading to loss of FDR control. Multicollinearity and scaling: strong collinearity among linguistic predictors can inflate variable importance and destabilize SHAP; scaling and centering choices will affect effect-size comparability. Surprisal alignment errors: incorrect token-to-character-span mapping or subword aggregation mistakes can produce misaligned predictors. Computational cost: grouped CV, 10k permutations, and bootstrap SHAP runs are compute intensive and may require large-memory parallel nodes. Generalization limits: results from English L1/L2 readers and this corpus may not generalize to other languages, scripts, or reading tasks. Interpretation limits: ML importance measures and SHAP show association and prioritized patterns but do not alone establish causal mechanisms.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