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ethical_review_ssh_sweden</w:t>
      </w:r>
    </w:p>
    <w:p>
      <w:r>
        <w:t xml:space="preserve"> </w:t>
      </w:r>
    </w:p>
    <w:p>
      <w:pPr>
        <w:pStyle w:val="Heading2"/>
      </w:pPr>
      <w:r>
        <w:t>Title</w:t>
      </w:r>
    </w:p>
    <w:p>
      <w:r>
        <w:t>Qualitative group-interview study of how ethical review processes affect research design among Swedish social science and humanities researchers</w:t>
      </w:r>
    </w:p>
    <w:p>
      <w:r>
        <w:t xml:space="preserve"> </w:t>
      </w:r>
    </w:p>
    <w:p>
      <w:pPr>
        <w:pStyle w:val="Heading2"/>
      </w:pPr>
      <w:r>
        <w:t>Short Hypothesis</w:t>
      </w:r>
    </w:p>
    <w:p>
      <w:r>
        <w:t>Researchers who perceive ethics reviewers as having lower methodological expertise are more likely to make major changes to their study design following ethical review.</w:t>
      </w:r>
    </w:p>
    <w:p>
      <w:r>
        <w:t xml:space="preserve"> </w:t>
      </w:r>
    </w:p>
    <w:p>
      <w:pPr>
        <w:pStyle w:val="Heading2"/>
      </w:pPr>
      <w:r>
        <w:t>Related Work</w:t>
      </w:r>
    </w:p>
    <w:p>
      <w:r>
        <w:t>Existing work reports that ethical review for social sciences and humanities (SSH) is often experienced as burdensome, bureaucratic, and poorly aligned with qualitative and interpretive methods. Studies contrast top-down, checklist-style review processes with tailored reviewer training and dialogic review models; however, prior approaches are limited by small or convenience samples, survey-only designs, and narrow disciplinary focus. Common weaknesses include lack of validated measurement for perceptions (fairness, timeliness, methodological alignment), scarce mixed-methods integration linking perceptions to concrete study outcomes (e.g., redesigns), and limited attention to sampling frames or post-stratification that would support inference. Data-security and GDPR concerns are documented but operational governance solutions and empirical links to researcher behavior are underexplored. There is also little preregistered, psychometrically validated work on measurement invariance across career stage and methods. These gaps leave unresolved whether reviewer expertise perceptions causally relate to research redesigns and how review systems might be reformed for SSH.</w:t>
      </w:r>
    </w:p>
    <w:p>
      <w:r>
        <w:t xml:space="preserve"> </w:t>
      </w:r>
    </w:p>
    <w:p>
      <w:pPr>
        <w:pStyle w:val="Heading2"/>
      </w:pPr>
      <w:r>
        <w:t>Abstract</w:t>
      </w:r>
    </w:p>
    <w:p>
      <w:r>
        <w:t>This study investigates whether Swedish social science and humanities researchers' perceptions of ethics reviewers' methodological expertise affect the likelihood of major research design changes after review. We use semi-structured group interviews with 18 researchers across SSH disciplines to generate coded measures of perceived reviewer expertise, methodological alignment, perceived fairness, timeliness, and reported study changes. The main contribution is an empirically grounded test of the association between perceived reviewer expertise and concrete research outcomes, combining qualitative coding with preregistered statistical models. Expected outputs include validated scale items for reviewer-expertise and methodological-alignment constructs, estimates of the association between perceptions and major design changes, and policy-relevant recommendations for reviewer training and governance. Findings will inform practical reforms to ethical review procedures aimed at better accommodating SSH methods while documenting the limits of inference from small-sample qualitative evidence.</w:t>
      </w:r>
    </w:p>
    <w:p>
      <w:r>
        <w:t xml:space="preserve"> </w:t>
      </w:r>
    </w:p>
    <w:p>
      <w:pPr>
        <w:pStyle w:val="Heading2"/>
      </w:pPr>
      <w:r>
        <w:t>Experiments</w:t>
      </w:r>
    </w:p>
    <w:p>
      <w:r>
        <w:t>Datasets: (1) Transcripts from seven semi-structured group interviews (n=18 participants) covering diverse disciplines, career stages, and methods; (2) Pilot survey (n≈100) used for scale calibration and psychometric testing. Baselines: (A) Null model (no association) tested with simple cross-tabulation and Fisher exact test for binary outcomes; (B) Unadjusted logistic regression of major-change (binary) on perceived reviewer-expertise (ordinal/continuous). Primary model: logistic mixed-effects regression for binary outcome 'major study change' with random intercept for institution (if ICC&gt;0.01), covariates: career stage, primary method (qualitative/quantitative/mixed), discipline cluster, topic sensitivity, prior ethics experience, age group, gender, and invitation frame. For continuous outcomes (perceived fairness, methodological-alignment) use linear mixed-effects models. Evaluation metrics: odds ratios with 95% CI and p-values for logistic models; standardized coefficients and Cohen's d for continuous outcomes; AUC for classification; pseudo-R2 (Nagelkerke) for model fit; Cronbach's alpha and McDonald's omega for internal consistency (scale reliability); confirmatory factor analysis (CFA) fit indices: CFI, RMSEA, SRMR; inter-coder reliability: Cohen's kappa (two coders) for categorical codes, intraclass correlation (ICC) for continuous ratings. Missing data: multiple imputation by chained equations (MICE) with 25 imputations; imputation models include auxiliary variables (response wave, invitation frame, prior funding). Ablation studies: (1) remove covariates to assess confounding; (2) omit institution random effects; (3) analyze alternative coding thresholds for 'major change' (e.g., minor vs major); (4) run models on interview-only data versus interview+pilot-survey combined data. Experimental setup: two independent coders apply a predefined codebook to transcripts; adjudication by third coder for disagreements; preregister model formulas, seeds, software versions (R with lme4 and mice, seed value documented), and full analysis code for reproducibility. Report sensitivity of results to weighting (raking to population margins) and ICC assumptions.</w:t>
      </w:r>
    </w:p>
    <w:p>
      <w:r>
        <w:t xml:space="preserve"> </w:t>
      </w:r>
    </w:p>
    <w:p>
      <w:pPr>
        <w:pStyle w:val="Heading2"/>
      </w:pPr>
      <w:r>
        <w:t>Risk Factors And Limitations</w:t>
      </w:r>
    </w:p>
    <w:p>
      <w:r>
        <w:t>Small sample size: interview sample (n=18) limits statistical power and precision for subgroup analysis. Observational design: associations cannot prove causation; unmeasured confounding (e.g., prior funding status) may bias estimates. Selection bias: participants may overrepresent those with strong views on ethics review. Measurement error: coded perceptions are subjective and depend on coder reliability; limited scale calibration from pilot sample may reduce stability. Generalizability: results pertain to Swedish SSH contexts and may not transfer to other countries or regulatory systems. Data access constraints: GDPR and institutional MOUs may limit sharing of raw transcripts, impeding external replication. Psychometric limits: small samples constrain CFA/IRT reliability and measurement-invariance testing across groups. Legal/operational risk: institutional reluctance to permit observation or document access could restrict data. Technical risk: mixed-effects models with few clusters (institutions) may produce unstable variance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