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pupil_size_psa_headmounted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Quantifying pupil-size-induced gaze errors in head-mounted video eye trackers using controlled luminance manipulations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Systematic changes in pupil diameter cause measurable, device-dependent apparent gaze shifts in head-mounted video-based eye trackers, producing mean incremental gaze errors greater than 0.25° across pupil-size bins compared to a desktop reference.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shows that pupil diameter affects image contrast and pupil segmentation in video eye trackers, often producing apparent gaze shifts called the pupil-size artifact (PSA). Existing approaches focus on desktop eye trackers, single-device reports, or algorithmic fixes (calibration corrections, synthetic-data augmentation, and image-based pupil models). Limitations include: (1) few multi-device head-mounted comparisons, (2) lack of standardized per-frame quality metrics and acceptance thresholds, (3) sparse metrology using traceable artificial-eye ground truth, and (4) limited evaluation of HDR or interleaved-exposure imaging and temporal fusion for rapid pupil changes. These gaps leave uncertainty about how PSA scales across head-mounted hardware, across pupil ranges (2–9 mm), and under rapid luminance transitions.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and how pupil diameter changes produce apparent gaze shifts (pupil-size artifact, PSA) in head-mounted video eye trackers. We induce controlled pupil changes by varying scene luminance and measure effects across multiple head-mounted devices and a desktop reference. We combine traceable artificial-eye measurements (ground-truth diameter and centroid), controlled human pilots, and device-synchronized HDR imaging (paired short and long exposures) to quantify per-frame data quality. The main contributions are: (1) a reproducible metrology pipeline with explicit per-frame QC fields (contrast-to-noise ratio or CNR; RMS ellipse residual; centroid repeatability), (2) device-level acceptance criteria tied to gaze-error budgets in degrees, and (3) algorithmic ablations comparing single-exposure, HDR fusion, and temporal smoothing (Kalman), plus mixed-effects statistical models that weight frames by uncertainty. Expected outcome: a clear, numeric mapping from pupil-size changes to incremental gaze error for each device and algorithm, enabling evidence-based calibration targets and validation criteria for head-mounted eye-trackers.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hardware: (A) Artificial-eye dataset: for each device, record N&gt;=200 frames per pupil aperture setting at pupil diameters {2,3,4,5,6,7,8,9} mm, with ground-truth diameter and centroid measured to ±0.01 mm by high-NA reference imaging; (B) Human pilot: N=30 participants, 45–60 min sessions with controlled luminance blocks (low ~1–10 lux, medium ~100 lux, high ~300–500 lux) and cognitive tasks to elicit non-luminance pupil changes; (C) Full study: target N=120–150 stratified by iris pigmentation and eyewear. Devices: at least three head-mounted video eye trackers (manufacturer A, B, C) and one desktop eye tracker as reference. Baselines: (1) device OEM calibration/gaze pipeline, (2) desktop tracker outputs, (3) offline ellipse fit + Kalman smoothing. Metrics: per-frame CNR ((mean pupil intensity − mean annulus intensity)/robust noise), RMS ellipse residual (weighted perpendicular edge distance, pixels), centroid repeatability (mm), validity rate (% valid frames), and gaze error in degrees (pixel→mm→deg calibrated per device). Experimental protocol: interleave paired short (0.8–1.5 ms) and long (6–8 ms) exposures synchronized to global shutter at combined 120–200 Hz; record LED current and exposure per frame; for humans, include 2–3 min adaptation per luminance block. Ablations: (A) single-exposure vs HDR fusion; (B) segmentation-only vs end-to-end ellipse regression; (C) with vs without Kalman smoothing; (D) varying CNR thresholds (≥8 vs 6) and interpolation gap rules (150 ms, 200 ms, 500 ms). Analysis: fit linear mixed-effects models (example: RMS_resid ~ poly(pupil_mm,2) + illumination + eyewear + (1 + pupil_mm | participant) + (1 | session)), use per-frame weights w_t = 1/Var_post_Kalman_t, report marginal/conditional R2, and test device×pupil interactions. Validation experiments: map pupil-bin to gaze-error degrees across head poses (±10° yaw/pitch) using controlled fixation grid; pass/fail if incremental gaze error ≤0.5° (acceptable) and ≤0.25° (ideal).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Device heterogeneity: different optics, sensors, and firmware cause variable PSA magnitude, limiting pooled conclusions. Artificial-eye vs human differences: artificial surfaces and rigid mounting cannot fully replicate corneal motion, eyelid dynamics, or tear-film speculars. Temporal alignment: mismatches between exposure timing and luminance changes can bias HDR fusion and create artifactual shifts. Ground-truth propagation: pixel→mm→deg calibration requires accurate lens and participant geometry; calibration uncertainty will propagate into gaze-error estimates. Safety and ethics: NIR/LED exposures and optional pharmacological dilation introduce regulatory and medical constraints. Computational limits: on-device runtime constraints (memory, MFLOPS) may prevent deploying heavier fusion or deep models. Statistical power: residual variance components may be larger than anticipated, requiring larger samples than planned. Generalization: lab-controlled luminance transitions may not cover complex real-world lighting and large head movements, limiting external validity. Data bias: participant pools or iris-pigmentation strata may be underrepresented, biasing subgroup inferences.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